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1CD" w:rsidRPr="008052F8" w:rsidRDefault="00552D3D" w:rsidP="00C821CD">
      <w:pPr>
        <w:pStyle w:val="Title"/>
        <w:rPr>
          <w:b/>
          <w:color w:val="auto"/>
        </w:rPr>
      </w:pPr>
      <w:sdt>
        <w:sdtPr>
          <w:rPr>
            <w:rFonts w:ascii="Arial" w:hAnsi="Arial" w:cs="Arial"/>
            <w:b/>
            <w:color w:val="auto"/>
            <w:sz w:val="32"/>
            <w:szCs w:val="32"/>
          </w:rPr>
          <w:id w:val="745540532"/>
          <w:placeholder>
            <w:docPart w:val="FFD8013AAA3E41039FC01B757CE61EB9"/>
          </w:placeholder>
        </w:sdtPr>
        <w:sdtEndPr/>
        <w:sdtContent>
          <w:bookmarkStart w:id="0" w:name="_GoBack"/>
          <w:bookmarkEnd w:id="0"/>
          <w:r w:rsidR="00C821CD" w:rsidRPr="008052F8">
            <w:rPr>
              <w:rFonts w:ascii="Arial" w:hAnsi="Arial" w:cs="Arial"/>
              <w:b/>
              <w:color w:val="auto"/>
              <w:sz w:val="32"/>
              <w:szCs w:val="32"/>
            </w:rPr>
            <w:t>ECO Steering Group</w:t>
          </w:r>
        </w:sdtContent>
      </w:sdt>
      <w:r w:rsidR="00C821CD" w:rsidRPr="008052F8">
        <w:rPr>
          <w:b/>
          <w:color w:val="auto"/>
        </w:rPr>
        <w:t xml:space="preserve"> </w:t>
      </w:r>
      <w:r w:rsidR="00C821CD" w:rsidRPr="008052F8">
        <w:rPr>
          <w:rFonts w:ascii="Arial" w:hAnsi="Arial" w:cs="Arial"/>
          <w:b/>
          <w:color w:val="auto"/>
          <w:sz w:val="32"/>
          <w:szCs w:val="32"/>
        </w:rPr>
        <w:t>|MINUTES</w:t>
      </w:r>
    </w:p>
    <w:p w:rsidR="00C821CD" w:rsidRPr="008052F8" w:rsidRDefault="000E72BE" w:rsidP="00C821CD">
      <w:pPr>
        <w:pStyle w:val="Subtitle"/>
        <w:rPr>
          <w:b/>
        </w:rPr>
      </w:pPr>
      <w:r>
        <w:rPr>
          <w:b/>
          <w:color w:val="auto"/>
        </w:rPr>
        <w:t>11 October</w:t>
      </w:r>
      <w:r w:rsidR="00E56D08">
        <w:rPr>
          <w:b/>
          <w:color w:val="auto"/>
        </w:rPr>
        <w:t xml:space="preserve"> 2013</w:t>
      </w:r>
      <w:r>
        <w:rPr>
          <w:b/>
          <w:color w:val="auto"/>
        </w:rPr>
        <w:t xml:space="preserve"> | 14.0</w:t>
      </w:r>
      <w:r w:rsidR="00C821CD" w:rsidRPr="008052F8">
        <w:rPr>
          <w:b/>
          <w:color w:val="auto"/>
        </w:rPr>
        <w:t xml:space="preserve">0 | </w:t>
      </w:r>
      <w:r w:rsidR="00C821CD">
        <w:rPr>
          <w:b/>
          <w:color w:val="auto"/>
        </w:rPr>
        <w:t xml:space="preserve">3 Whitehall Place </w:t>
      </w:r>
      <w:r w:rsidR="00C821CD" w:rsidRPr="008052F8">
        <w:rPr>
          <w:b/>
        </w:rPr>
        <w:tab/>
      </w:r>
    </w:p>
    <w:p w:rsidR="00C821CD" w:rsidRDefault="00C821CD" w:rsidP="003701EC">
      <w:pPr>
        <w:pStyle w:val="Heading2"/>
      </w:pPr>
      <w:r>
        <w:t xml:space="preserve">Actions from the previous meeting held on </w:t>
      </w:r>
      <w:r w:rsidR="000E72BE">
        <w:t>13 September 2013</w:t>
      </w:r>
    </w:p>
    <w:tbl>
      <w:tblPr>
        <w:tblW w:w="5000" w:type="pct"/>
        <w:tblLayout w:type="fixed"/>
        <w:tblCellMar>
          <w:left w:w="0" w:type="dxa"/>
          <w:right w:w="0" w:type="dxa"/>
        </w:tblCellMar>
        <w:tblLook w:val="04A0" w:firstRow="1" w:lastRow="0" w:firstColumn="1" w:lastColumn="0" w:noHBand="0" w:noVBand="1"/>
      </w:tblPr>
      <w:tblGrid>
        <w:gridCol w:w="10800"/>
      </w:tblGrid>
      <w:tr w:rsidR="00C821CD" w:rsidTr="002D3485">
        <w:trPr>
          <w:trHeight w:val="656"/>
          <w:tblHeader/>
        </w:trPr>
        <w:tc>
          <w:tcPr>
            <w:tcW w:w="10800" w:type="dxa"/>
          </w:tcPr>
          <w:p w:rsidR="0065483E" w:rsidRPr="00125ABB" w:rsidRDefault="005E4A5A" w:rsidP="00FB7344">
            <w:pPr>
              <w:rPr>
                <w:rFonts w:ascii="Arial" w:hAnsi="Arial" w:cs="Arial"/>
                <w:b/>
                <w:sz w:val="24"/>
                <w:szCs w:val="24"/>
              </w:rPr>
            </w:pPr>
            <w:proofErr w:type="gramStart"/>
            <w:r w:rsidRPr="00766F74">
              <w:rPr>
                <w:rFonts w:ascii="Arial" w:hAnsi="Arial" w:cs="Arial"/>
                <w:b/>
                <w:sz w:val="24"/>
                <w:szCs w:val="24"/>
              </w:rPr>
              <w:t>Action :</w:t>
            </w:r>
            <w:proofErr w:type="gramEnd"/>
            <w:r w:rsidRPr="00766F74">
              <w:rPr>
                <w:rFonts w:ascii="Arial" w:hAnsi="Arial" w:cs="Arial"/>
                <w:b/>
                <w:sz w:val="24"/>
                <w:szCs w:val="24"/>
              </w:rPr>
              <w:t xml:space="preserve"> </w:t>
            </w:r>
            <w:r w:rsidR="000E72BE">
              <w:rPr>
                <w:rFonts w:ascii="Arial" w:hAnsi="Arial" w:cs="Arial"/>
                <w:sz w:val="24"/>
                <w:szCs w:val="24"/>
              </w:rPr>
              <w:t>DECC to circulate questions on data sharing and for ECO Steering Group members to provide comments to Tash Shotton</w:t>
            </w:r>
            <w:r w:rsidR="00125ABB">
              <w:rPr>
                <w:rFonts w:ascii="Arial" w:hAnsi="Arial" w:cs="Arial"/>
                <w:sz w:val="24"/>
                <w:szCs w:val="24"/>
              </w:rPr>
              <w:t xml:space="preserve">.  </w:t>
            </w:r>
            <w:r w:rsidR="00125ABB">
              <w:rPr>
                <w:rFonts w:ascii="Arial" w:hAnsi="Arial" w:cs="Arial"/>
                <w:b/>
                <w:sz w:val="24"/>
                <w:szCs w:val="24"/>
              </w:rPr>
              <w:t>Circulated to the ECO Steering Group on 30 September.</w:t>
            </w:r>
          </w:p>
          <w:p w:rsidR="005E4A5A" w:rsidRPr="0067036E" w:rsidRDefault="005E4A5A" w:rsidP="00125ABB">
            <w:pPr>
              <w:rPr>
                <w:rFonts w:ascii="Arial" w:hAnsi="Arial" w:cs="Arial"/>
                <w:b/>
                <w:sz w:val="24"/>
                <w:szCs w:val="24"/>
              </w:rPr>
            </w:pPr>
          </w:p>
        </w:tc>
      </w:tr>
    </w:tbl>
    <w:p w:rsidR="00C821CD" w:rsidRDefault="00532454" w:rsidP="00652203">
      <w:pPr>
        <w:pStyle w:val="Heading2"/>
      </w:pPr>
      <w:r>
        <w:t>Ofgem update</w:t>
      </w:r>
    </w:p>
    <w:p w:rsidR="002F7FC2" w:rsidRDefault="002F7FC2" w:rsidP="00645DF4">
      <w:pPr>
        <w:ind w:left="0"/>
        <w:rPr>
          <w:rFonts w:ascii="Arial" w:hAnsi="Arial" w:cs="Arial"/>
          <w:sz w:val="24"/>
          <w:szCs w:val="24"/>
        </w:rPr>
      </w:pPr>
      <w:r>
        <w:rPr>
          <w:rFonts w:ascii="Arial" w:hAnsi="Arial" w:cs="Arial"/>
          <w:sz w:val="24"/>
          <w:szCs w:val="24"/>
        </w:rPr>
        <w:t xml:space="preserve">Caroline Bradley spoke to slides (circulated with these minutes) describing the latest progress report to July 2013.  The most dominant installed measures were loft </w:t>
      </w:r>
      <w:r w:rsidR="00CA241A">
        <w:rPr>
          <w:rFonts w:ascii="Arial" w:hAnsi="Arial" w:cs="Arial"/>
          <w:sz w:val="24"/>
          <w:szCs w:val="24"/>
        </w:rPr>
        <w:t>insulation and boiler replacements. The measure mix may change going forwards as other insulation measures, such as SWI</w:t>
      </w:r>
      <w:r>
        <w:rPr>
          <w:rFonts w:ascii="Arial" w:hAnsi="Arial" w:cs="Arial"/>
          <w:sz w:val="24"/>
          <w:szCs w:val="24"/>
        </w:rPr>
        <w:t xml:space="preserve">, were beginning to </w:t>
      </w:r>
      <w:r w:rsidR="00CA241A">
        <w:rPr>
          <w:rFonts w:ascii="Arial" w:hAnsi="Arial" w:cs="Arial"/>
          <w:sz w:val="24"/>
          <w:szCs w:val="24"/>
        </w:rPr>
        <w:t>pick up</w:t>
      </w:r>
      <w:r>
        <w:rPr>
          <w:rFonts w:ascii="Arial" w:hAnsi="Arial" w:cs="Arial"/>
          <w:sz w:val="24"/>
          <w:szCs w:val="24"/>
        </w:rPr>
        <w:t xml:space="preserve">. </w:t>
      </w:r>
    </w:p>
    <w:p w:rsidR="009A16E0" w:rsidRPr="004412A1" w:rsidRDefault="002F7FC2" w:rsidP="00645DF4">
      <w:pPr>
        <w:ind w:left="0"/>
        <w:rPr>
          <w:rFonts w:ascii="Arial" w:hAnsi="Arial" w:cs="Arial"/>
          <w:sz w:val="24"/>
          <w:szCs w:val="24"/>
        </w:rPr>
      </w:pPr>
      <w:r>
        <w:rPr>
          <w:rFonts w:ascii="Arial" w:hAnsi="Arial" w:cs="Arial"/>
          <w:sz w:val="24"/>
          <w:szCs w:val="24"/>
        </w:rPr>
        <w:t xml:space="preserve">In response to questions on the quantity of data reporting errors, </w:t>
      </w:r>
      <w:r w:rsidR="00873DF5">
        <w:rPr>
          <w:rFonts w:ascii="Arial" w:hAnsi="Arial" w:cs="Arial"/>
          <w:sz w:val="24"/>
          <w:szCs w:val="24"/>
        </w:rPr>
        <w:t>Caroline</w:t>
      </w:r>
      <w:r>
        <w:rPr>
          <w:rFonts w:ascii="Arial" w:hAnsi="Arial" w:cs="Arial"/>
          <w:sz w:val="24"/>
          <w:szCs w:val="24"/>
        </w:rPr>
        <w:t xml:space="preserve"> explained that Ofgem </w:t>
      </w:r>
      <w:r w:rsidR="00CA241A">
        <w:rPr>
          <w:rFonts w:ascii="Arial" w:hAnsi="Arial" w:cs="Arial"/>
          <w:sz w:val="24"/>
          <w:szCs w:val="24"/>
        </w:rPr>
        <w:t xml:space="preserve">had been working with suppliers to reduce errors. Supplementary guidance had been produced and Ofgem </w:t>
      </w:r>
      <w:r>
        <w:rPr>
          <w:rFonts w:ascii="Arial" w:hAnsi="Arial" w:cs="Arial"/>
          <w:sz w:val="24"/>
          <w:szCs w:val="24"/>
        </w:rPr>
        <w:t xml:space="preserve">were running a number of training sessions with suppliers to improve reporting. </w:t>
      </w:r>
      <w:r w:rsidR="00CA241A">
        <w:rPr>
          <w:rFonts w:ascii="Arial" w:hAnsi="Arial" w:cs="Arial"/>
          <w:sz w:val="24"/>
          <w:szCs w:val="24"/>
        </w:rPr>
        <w:t xml:space="preserve">Suppliers would have </w:t>
      </w:r>
      <w:r w:rsidR="00CA241A" w:rsidRPr="004412A1">
        <w:rPr>
          <w:rFonts w:ascii="Arial" w:hAnsi="Arial" w:cs="Arial"/>
          <w:sz w:val="24"/>
          <w:szCs w:val="24"/>
        </w:rPr>
        <w:t>to increase their rate of delivery in order to meet their obligations</w:t>
      </w:r>
      <w:r w:rsidR="00873DF5" w:rsidRPr="004412A1">
        <w:rPr>
          <w:rFonts w:ascii="Arial" w:hAnsi="Arial" w:cs="Arial"/>
          <w:sz w:val="24"/>
          <w:szCs w:val="24"/>
        </w:rPr>
        <w:t>.</w:t>
      </w:r>
    </w:p>
    <w:p w:rsidR="00CA241A" w:rsidRDefault="00873DF5" w:rsidP="00645DF4">
      <w:pPr>
        <w:ind w:left="0"/>
        <w:rPr>
          <w:rFonts w:ascii="Arial" w:hAnsi="Arial" w:cs="Arial"/>
          <w:sz w:val="24"/>
          <w:szCs w:val="24"/>
        </w:rPr>
      </w:pPr>
      <w:r w:rsidRPr="004412A1">
        <w:rPr>
          <w:rFonts w:ascii="Arial" w:hAnsi="Arial" w:cs="Arial"/>
          <w:sz w:val="24"/>
          <w:szCs w:val="24"/>
        </w:rPr>
        <w:t xml:space="preserve">Installers were </w:t>
      </w:r>
      <w:r w:rsidR="00CA241A" w:rsidRPr="004412A1">
        <w:rPr>
          <w:rFonts w:ascii="Arial" w:hAnsi="Arial" w:cs="Arial"/>
          <w:sz w:val="24"/>
          <w:szCs w:val="24"/>
        </w:rPr>
        <w:t xml:space="preserve">keen </w:t>
      </w:r>
      <w:r w:rsidRPr="004412A1">
        <w:rPr>
          <w:rFonts w:ascii="Arial" w:hAnsi="Arial" w:cs="Arial"/>
          <w:sz w:val="24"/>
          <w:szCs w:val="24"/>
        </w:rPr>
        <w:t xml:space="preserve">to learn when CERT/CESP excess actions flowing through to ECO would be announced.  </w:t>
      </w:r>
      <w:r w:rsidR="00CA241A" w:rsidRPr="004412A1">
        <w:rPr>
          <w:rFonts w:ascii="Arial" w:hAnsi="Arial" w:cs="Arial"/>
          <w:sz w:val="24"/>
          <w:szCs w:val="24"/>
        </w:rPr>
        <w:t xml:space="preserve">Will </w:t>
      </w:r>
      <w:r w:rsidR="004412A1" w:rsidRPr="00552D3D">
        <w:rPr>
          <w:rFonts w:ascii="Arial" w:hAnsi="Arial" w:cs="Arial"/>
          <w:sz w:val="24"/>
          <w:szCs w:val="24"/>
        </w:rPr>
        <w:t>confirmed</w:t>
      </w:r>
      <w:r w:rsidR="00CA241A" w:rsidRPr="004412A1">
        <w:rPr>
          <w:rFonts w:ascii="Arial" w:hAnsi="Arial" w:cs="Arial"/>
          <w:sz w:val="24"/>
          <w:szCs w:val="24"/>
        </w:rPr>
        <w:t xml:space="preserve"> that Ofgem was hoping to be able to publish in November however this may slip to December.</w:t>
      </w:r>
      <w:r w:rsidR="00CA241A">
        <w:rPr>
          <w:rFonts w:ascii="Arial" w:hAnsi="Arial" w:cs="Arial"/>
          <w:sz w:val="24"/>
          <w:szCs w:val="24"/>
        </w:rPr>
        <w:t xml:space="preserve">  </w:t>
      </w:r>
    </w:p>
    <w:p w:rsidR="00873DF5" w:rsidRDefault="00873DF5" w:rsidP="00645DF4">
      <w:pPr>
        <w:ind w:left="0"/>
        <w:rPr>
          <w:rFonts w:ascii="Arial" w:hAnsi="Arial" w:cs="Arial"/>
          <w:sz w:val="24"/>
          <w:szCs w:val="24"/>
        </w:rPr>
      </w:pPr>
      <w:r>
        <w:rPr>
          <w:rFonts w:ascii="Arial" w:hAnsi="Arial" w:cs="Arial"/>
          <w:sz w:val="24"/>
          <w:szCs w:val="24"/>
        </w:rPr>
        <w:t xml:space="preserve">Cassie Sutherland indicated that there had been a high number of responses to Ofgem’s consultation on HTT cavities with over 50 responses having been received.  The </w:t>
      </w:r>
      <w:r w:rsidR="00CA241A">
        <w:rPr>
          <w:rFonts w:ascii="Arial" w:hAnsi="Arial" w:cs="Arial"/>
          <w:sz w:val="24"/>
          <w:szCs w:val="24"/>
        </w:rPr>
        <w:t>consultation</w:t>
      </w:r>
      <w:r>
        <w:rPr>
          <w:rFonts w:ascii="Arial" w:hAnsi="Arial" w:cs="Arial"/>
          <w:sz w:val="24"/>
          <w:szCs w:val="24"/>
        </w:rPr>
        <w:t xml:space="preserve"> closed on 30 September and Ofgem were now in the process of sifting responses and considering.  The Steering Group was assured that a decision would be communicated as soon as possible</w:t>
      </w:r>
      <w:r w:rsidR="00BD1A9D">
        <w:rPr>
          <w:rFonts w:ascii="Arial" w:hAnsi="Arial" w:cs="Arial"/>
          <w:sz w:val="24"/>
          <w:szCs w:val="24"/>
        </w:rPr>
        <w:t>.  When a decision is reached, a revised Supplier Guidance document will be produced.</w:t>
      </w:r>
    </w:p>
    <w:p w:rsidR="00BD1A9D" w:rsidRDefault="00BD1A9D" w:rsidP="00645DF4">
      <w:pPr>
        <w:ind w:left="0"/>
        <w:rPr>
          <w:rFonts w:ascii="Arial" w:hAnsi="Arial" w:cs="Arial"/>
          <w:sz w:val="24"/>
          <w:szCs w:val="24"/>
        </w:rPr>
      </w:pPr>
      <w:r>
        <w:rPr>
          <w:rFonts w:ascii="Arial" w:hAnsi="Arial" w:cs="Arial"/>
          <w:sz w:val="24"/>
          <w:szCs w:val="24"/>
        </w:rPr>
        <w:t>Ofgem advised that</w:t>
      </w:r>
      <w:r w:rsidR="00CA241A">
        <w:rPr>
          <w:rFonts w:ascii="Arial" w:hAnsi="Arial" w:cs="Arial"/>
          <w:sz w:val="24"/>
          <w:szCs w:val="24"/>
        </w:rPr>
        <w:t xml:space="preserve"> they would have to publish a new version of the Supplier Guidance as a result of ECO 1.1 changes.  Therefore</w:t>
      </w:r>
      <w:r>
        <w:rPr>
          <w:rFonts w:ascii="Arial" w:hAnsi="Arial" w:cs="Arial"/>
          <w:sz w:val="24"/>
          <w:szCs w:val="24"/>
        </w:rPr>
        <w:t xml:space="preserve"> they were inviting stakeholders to tell them </w:t>
      </w:r>
      <w:r w:rsidR="00CA241A">
        <w:rPr>
          <w:rFonts w:ascii="Arial" w:hAnsi="Arial" w:cs="Arial"/>
          <w:sz w:val="24"/>
          <w:szCs w:val="24"/>
        </w:rPr>
        <w:t xml:space="preserve">if </w:t>
      </w:r>
      <w:r>
        <w:rPr>
          <w:rFonts w:ascii="Arial" w:hAnsi="Arial" w:cs="Arial"/>
          <w:sz w:val="24"/>
          <w:szCs w:val="24"/>
        </w:rPr>
        <w:t xml:space="preserve">they think </w:t>
      </w:r>
      <w:r w:rsidR="00CA241A">
        <w:rPr>
          <w:rFonts w:ascii="Arial" w:hAnsi="Arial" w:cs="Arial"/>
          <w:sz w:val="24"/>
          <w:szCs w:val="24"/>
        </w:rPr>
        <w:t xml:space="preserve">any specific sections of </w:t>
      </w:r>
      <w:r>
        <w:rPr>
          <w:rFonts w:ascii="Arial" w:hAnsi="Arial" w:cs="Arial"/>
          <w:sz w:val="24"/>
          <w:szCs w:val="24"/>
        </w:rPr>
        <w:t xml:space="preserve">the Supplier Guidance </w:t>
      </w:r>
      <w:r w:rsidR="00CA241A">
        <w:rPr>
          <w:rFonts w:ascii="Arial" w:hAnsi="Arial" w:cs="Arial"/>
          <w:sz w:val="24"/>
          <w:szCs w:val="24"/>
        </w:rPr>
        <w:t xml:space="preserve">are </w:t>
      </w:r>
      <w:r>
        <w:rPr>
          <w:rFonts w:ascii="Arial" w:hAnsi="Arial" w:cs="Arial"/>
          <w:sz w:val="24"/>
          <w:szCs w:val="24"/>
        </w:rPr>
        <w:t>unclear</w:t>
      </w:r>
      <w:r w:rsidR="00CA241A">
        <w:rPr>
          <w:rFonts w:ascii="Arial" w:hAnsi="Arial" w:cs="Arial"/>
          <w:sz w:val="24"/>
          <w:szCs w:val="24"/>
        </w:rPr>
        <w:t xml:space="preserve"> or misleading so that changes could be incorporated into the new version</w:t>
      </w:r>
      <w:r>
        <w:rPr>
          <w:rFonts w:ascii="Arial" w:hAnsi="Arial" w:cs="Arial"/>
          <w:sz w:val="24"/>
          <w:szCs w:val="24"/>
        </w:rPr>
        <w:t>.</w:t>
      </w:r>
    </w:p>
    <w:p w:rsidR="00BD1A9D" w:rsidRPr="00BD1A9D" w:rsidRDefault="00BD1A9D" w:rsidP="00645DF4">
      <w:pPr>
        <w:ind w:left="0"/>
        <w:rPr>
          <w:rFonts w:ascii="Arial" w:hAnsi="Arial" w:cs="Arial"/>
          <w:b/>
          <w:sz w:val="24"/>
          <w:szCs w:val="24"/>
        </w:rPr>
      </w:pPr>
      <w:r>
        <w:rPr>
          <w:rFonts w:ascii="Arial" w:hAnsi="Arial" w:cs="Arial"/>
          <w:b/>
          <w:sz w:val="24"/>
          <w:szCs w:val="24"/>
        </w:rPr>
        <w:t>Action: All ECO Steering Group members to provide comments to Ofgem on the Supplier Guidance no later than 30 November 2013.</w:t>
      </w:r>
    </w:p>
    <w:p w:rsidR="00BD1A9D" w:rsidRDefault="00BD1A9D" w:rsidP="00645DF4">
      <w:pPr>
        <w:ind w:left="0"/>
        <w:rPr>
          <w:rFonts w:ascii="Arial" w:hAnsi="Arial" w:cs="Arial"/>
          <w:sz w:val="24"/>
          <w:szCs w:val="24"/>
        </w:rPr>
      </w:pPr>
    </w:p>
    <w:p w:rsidR="00C821CD" w:rsidRDefault="004259E7" w:rsidP="00C821CD">
      <w:pPr>
        <w:pStyle w:val="Heading2"/>
      </w:pPr>
      <w:r>
        <w:t>HECA/Green Deal Communities</w:t>
      </w:r>
    </w:p>
    <w:p w:rsidR="004259E7" w:rsidRDefault="004259E7" w:rsidP="000C5664">
      <w:pPr>
        <w:rPr>
          <w:rFonts w:ascii="Arial" w:hAnsi="Arial" w:cs="Arial"/>
          <w:sz w:val="24"/>
          <w:szCs w:val="24"/>
        </w:rPr>
      </w:pPr>
      <w:r w:rsidRPr="004259E7">
        <w:rPr>
          <w:rFonts w:ascii="Arial" w:hAnsi="Arial" w:cs="Arial"/>
          <w:sz w:val="24"/>
          <w:szCs w:val="24"/>
        </w:rPr>
        <w:t>Steve Ives</w:t>
      </w:r>
      <w:r>
        <w:rPr>
          <w:rFonts w:ascii="Arial" w:hAnsi="Arial" w:cs="Arial"/>
          <w:sz w:val="24"/>
          <w:szCs w:val="24"/>
        </w:rPr>
        <w:t xml:space="preserve"> gave a presentation Green Deal Communities (slides circulated with these minutes) noting that this was providing £20 million of capital funding for Local Authorities to embark on a street-by-street approach to retrofitting. The scheme was open until 31 December or until the funds were exhausted.</w:t>
      </w:r>
    </w:p>
    <w:p w:rsidR="004259E7" w:rsidRDefault="004259E7" w:rsidP="000C5664">
      <w:pPr>
        <w:rPr>
          <w:rFonts w:ascii="Arial" w:hAnsi="Arial" w:cs="Arial"/>
          <w:sz w:val="24"/>
          <w:szCs w:val="24"/>
        </w:rPr>
      </w:pPr>
    </w:p>
    <w:p w:rsidR="002F30E7" w:rsidRDefault="004259E7" w:rsidP="000C5664">
      <w:pPr>
        <w:rPr>
          <w:rFonts w:ascii="Arial" w:hAnsi="Arial" w:cs="Arial"/>
          <w:sz w:val="24"/>
          <w:szCs w:val="24"/>
        </w:rPr>
      </w:pPr>
      <w:r>
        <w:rPr>
          <w:rFonts w:ascii="Arial" w:hAnsi="Arial" w:cs="Arial"/>
          <w:sz w:val="24"/>
          <w:szCs w:val="24"/>
        </w:rPr>
        <w:t>He then gave a short overview on the latest state of play with regard to HECA and demonstrated the sort of information that could be pulled from the summary spreadsheet.  The statistics were now</w:t>
      </w:r>
      <w:r w:rsidR="009E6774">
        <w:rPr>
          <w:rFonts w:ascii="Arial" w:hAnsi="Arial" w:cs="Arial"/>
          <w:sz w:val="24"/>
          <w:szCs w:val="24"/>
        </w:rPr>
        <w:t xml:space="preserve"> beginning to yield useful data.  </w:t>
      </w:r>
      <w:r w:rsidR="00B55750">
        <w:rPr>
          <w:rFonts w:ascii="Arial" w:hAnsi="Arial" w:cs="Arial"/>
          <w:sz w:val="24"/>
          <w:szCs w:val="24"/>
        </w:rPr>
        <w:t>Details of the link to these are</w:t>
      </w:r>
      <w:r w:rsidR="009E6774">
        <w:rPr>
          <w:rFonts w:ascii="Arial" w:hAnsi="Arial" w:cs="Arial"/>
          <w:sz w:val="24"/>
          <w:szCs w:val="24"/>
        </w:rPr>
        <w:t xml:space="preserve"> included with these minutes.</w:t>
      </w:r>
    </w:p>
    <w:p w:rsidR="009E6774" w:rsidRDefault="009E6774" w:rsidP="009E6774">
      <w:pPr>
        <w:pStyle w:val="Heading2"/>
      </w:pPr>
      <w:r>
        <w:t>Action Plan</w:t>
      </w:r>
    </w:p>
    <w:p w:rsidR="009E6774" w:rsidRDefault="009E6774" w:rsidP="009E6774">
      <w:pPr>
        <w:rPr>
          <w:rFonts w:ascii="Arial" w:hAnsi="Arial" w:cs="Arial"/>
          <w:sz w:val="24"/>
          <w:szCs w:val="24"/>
        </w:rPr>
      </w:pPr>
      <w:r>
        <w:rPr>
          <w:rFonts w:ascii="Arial" w:hAnsi="Arial" w:cs="Arial"/>
          <w:sz w:val="24"/>
          <w:szCs w:val="24"/>
        </w:rPr>
        <w:t>Marcus Brooks provided an overview of a number of activities that DECC had identified (slides attached to these minutes) and invited Steering Group members to provide comments on whether this represents the right approach or if there are key omissions.</w:t>
      </w:r>
    </w:p>
    <w:p w:rsidR="009E6774" w:rsidRDefault="009E6774" w:rsidP="009E6774">
      <w:pPr>
        <w:rPr>
          <w:rFonts w:ascii="Arial" w:hAnsi="Arial" w:cs="Arial"/>
          <w:sz w:val="24"/>
          <w:szCs w:val="24"/>
        </w:rPr>
      </w:pPr>
      <w:r>
        <w:rPr>
          <w:rFonts w:ascii="Arial" w:hAnsi="Arial" w:cs="Arial"/>
          <w:sz w:val="24"/>
          <w:szCs w:val="24"/>
        </w:rPr>
        <w:t>In response, the meeting felt that it might be helpful if DECC were to publish case studies particularly so with regard to Affordable Warmth as it was felt that this is a complex subject to get across.</w:t>
      </w:r>
    </w:p>
    <w:p w:rsidR="009E6774" w:rsidRDefault="009E6774" w:rsidP="009E6774">
      <w:pPr>
        <w:rPr>
          <w:rFonts w:ascii="Arial" w:hAnsi="Arial" w:cs="Arial"/>
          <w:b/>
          <w:sz w:val="24"/>
          <w:szCs w:val="24"/>
        </w:rPr>
      </w:pPr>
      <w:proofErr w:type="gramStart"/>
      <w:r>
        <w:rPr>
          <w:rFonts w:ascii="Arial" w:hAnsi="Arial" w:cs="Arial"/>
          <w:b/>
          <w:sz w:val="24"/>
          <w:szCs w:val="24"/>
        </w:rPr>
        <w:t>Action :</w:t>
      </w:r>
      <w:proofErr w:type="gramEnd"/>
      <w:r>
        <w:rPr>
          <w:rFonts w:ascii="Arial" w:hAnsi="Arial" w:cs="Arial"/>
          <w:b/>
          <w:sz w:val="24"/>
          <w:szCs w:val="24"/>
        </w:rPr>
        <w:t xml:space="preserve"> ECO Steering Group members to provide Marcus</w:t>
      </w:r>
      <w:r w:rsidR="00AE67D7">
        <w:rPr>
          <w:rFonts w:ascii="Arial" w:hAnsi="Arial" w:cs="Arial"/>
          <w:b/>
          <w:sz w:val="24"/>
          <w:szCs w:val="24"/>
        </w:rPr>
        <w:t xml:space="preserve"> Brooks with comments no later than Monday 21 October.</w:t>
      </w:r>
    </w:p>
    <w:p w:rsidR="00AE67D7" w:rsidRDefault="00AE67D7" w:rsidP="00AE67D7">
      <w:pPr>
        <w:pStyle w:val="Heading2"/>
      </w:pPr>
      <w:r>
        <w:t>Progress on Reporting Requirements</w:t>
      </w:r>
    </w:p>
    <w:p w:rsidR="00AE67D7" w:rsidRDefault="00AE67D7" w:rsidP="009E6774">
      <w:pPr>
        <w:rPr>
          <w:rFonts w:ascii="Arial" w:hAnsi="Arial" w:cs="Arial"/>
          <w:sz w:val="24"/>
          <w:szCs w:val="24"/>
        </w:rPr>
      </w:pPr>
      <w:r>
        <w:rPr>
          <w:rFonts w:ascii="Arial" w:hAnsi="Arial" w:cs="Arial"/>
          <w:sz w:val="24"/>
          <w:szCs w:val="24"/>
        </w:rPr>
        <w:t>Charles Phillips drew attention to a number of supply chain complaints that were reaching the ears of Ministers regarding payment.  DECC was trying to unpick the issue which were complex but was looking with Ofgem</w:t>
      </w:r>
      <w:r w:rsidR="00CA241A">
        <w:rPr>
          <w:rFonts w:ascii="Arial" w:hAnsi="Arial" w:cs="Arial"/>
          <w:sz w:val="24"/>
          <w:szCs w:val="24"/>
        </w:rPr>
        <w:t>, suppliers and the insulation industry</w:t>
      </w:r>
      <w:r>
        <w:rPr>
          <w:rFonts w:ascii="Arial" w:hAnsi="Arial" w:cs="Arial"/>
          <w:sz w:val="24"/>
          <w:szCs w:val="24"/>
        </w:rPr>
        <w:t xml:space="preserve"> at what had to be reported and would </w:t>
      </w:r>
      <w:r w:rsidR="004412A1">
        <w:rPr>
          <w:rFonts w:ascii="Arial" w:hAnsi="Arial" w:cs="Arial"/>
          <w:sz w:val="24"/>
          <w:szCs w:val="24"/>
        </w:rPr>
        <w:t xml:space="preserve">aim to </w:t>
      </w:r>
      <w:r>
        <w:rPr>
          <w:rFonts w:ascii="Arial" w:hAnsi="Arial" w:cs="Arial"/>
          <w:sz w:val="24"/>
          <w:szCs w:val="24"/>
        </w:rPr>
        <w:t xml:space="preserve">produce a </w:t>
      </w:r>
      <w:proofErr w:type="spellStart"/>
      <w:r w:rsidR="004412A1">
        <w:rPr>
          <w:rFonts w:ascii="Arial" w:hAnsi="Arial" w:cs="Arial"/>
          <w:sz w:val="24"/>
          <w:szCs w:val="24"/>
        </w:rPr>
        <w:t>standardised</w:t>
      </w:r>
      <w:proofErr w:type="spellEnd"/>
      <w:r w:rsidR="004412A1">
        <w:rPr>
          <w:rFonts w:ascii="Arial" w:hAnsi="Arial" w:cs="Arial"/>
          <w:sz w:val="24"/>
          <w:szCs w:val="24"/>
        </w:rPr>
        <w:t xml:space="preserve"> </w:t>
      </w:r>
      <w:r>
        <w:rPr>
          <w:rFonts w:ascii="Arial" w:hAnsi="Arial" w:cs="Arial"/>
          <w:sz w:val="24"/>
          <w:szCs w:val="24"/>
        </w:rPr>
        <w:t>template</w:t>
      </w:r>
      <w:r w:rsidR="004412A1">
        <w:rPr>
          <w:rFonts w:ascii="Arial" w:hAnsi="Arial" w:cs="Arial"/>
          <w:sz w:val="24"/>
          <w:szCs w:val="24"/>
        </w:rPr>
        <w:t xml:space="preserve"> for installers to use with suppliers</w:t>
      </w:r>
      <w:r>
        <w:rPr>
          <w:rFonts w:ascii="Arial" w:hAnsi="Arial" w:cs="Arial"/>
          <w:sz w:val="24"/>
          <w:szCs w:val="24"/>
        </w:rPr>
        <w:t xml:space="preserve">.  In addition, it was thought helpful to produce a checklist of required reportable items together with “nice-to-haves”.   He said that DECC had set up a </w:t>
      </w:r>
      <w:r w:rsidR="00CA241A">
        <w:rPr>
          <w:rFonts w:ascii="Arial" w:hAnsi="Arial" w:cs="Arial"/>
          <w:sz w:val="24"/>
          <w:szCs w:val="24"/>
        </w:rPr>
        <w:t>working group</w:t>
      </w:r>
      <w:r>
        <w:rPr>
          <w:rFonts w:ascii="Arial" w:hAnsi="Arial" w:cs="Arial"/>
          <w:sz w:val="24"/>
          <w:szCs w:val="24"/>
        </w:rPr>
        <w:t xml:space="preserve"> to consider the issue with two sub-groups. </w:t>
      </w:r>
    </w:p>
    <w:p w:rsidR="00957ADC" w:rsidRPr="00552D3D" w:rsidRDefault="004412A1" w:rsidP="00957ADC">
      <w:pPr>
        <w:ind w:left="0"/>
        <w:rPr>
          <w:rFonts w:ascii="Arial" w:hAnsi="Arial" w:cs="Arial"/>
          <w:b/>
          <w:sz w:val="24"/>
          <w:szCs w:val="24"/>
        </w:rPr>
      </w:pPr>
      <w:r w:rsidRPr="00552D3D">
        <w:rPr>
          <w:rFonts w:ascii="Arial" w:hAnsi="Arial" w:cs="Arial"/>
          <w:b/>
          <w:sz w:val="24"/>
          <w:szCs w:val="24"/>
        </w:rPr>
        <w:t xml:space="preserve">Action: suppliers to </w:t>
      </w:r>
      <w:r w:rsidR="00957ADC" w:rsidRPr="00552D3D">
        <w:rPr>
          <w:rFonts w:ascii="Arial" w:hAnsi="Arial" w:cs="Arial"/>
          <w:b/>
          <w:sz w:val="24"/>
          <w:szCs w:val="24"/>
        </w:rPr>
        <w:t>look at their own reporting spreadsheets to see if they might be simplified</w:t>
      </w:r>
      <w:r w:rsidRPr="00552D3D">
        <w:rPr>
          <w:rFonts w:ascii="Arial" w:hAnsi="Arial" w:cs="Arial"/>
          <w:b/>
          <w:sz w:val="24"/>
          <w:szCs w:val="24"/>
        </w:rPr>
        <w:t xml:space="preserve"> and to inform reporting working group </w:t>
      </w:r>
      <w:proofErr w:type="gramStart"/>
      <w:r w:rsidRPr="00552D3D">
        <w:rPr>
          <w:rFonts w:ascii="Arial" w:hAnsi="Arial" w:cs="Arial"/>
          <w:b/>
          <w:sz w:val="24"/>
          <w:szCs w:val="24"/>
        </w:rPr>
        <w:t>asap</w:t>
      </w:r>
      <w:proofErr w:type="gramEnd"/>
      <w:r w:rsidR="00957ADC" w:rsidRPr="00552D3D">
        <w:rPr>
          <w:rFonts w:ascii="Arial" w:hAnsi="Arial" w:cs="Arial"/>
          <w:b/>
          <w:sz w:val="24"/>
          <w:szCs w:val="24"/>
        </w:rPr>
        <w:t>.</w:t>
      </w:r>
    </w:p>
    <w:p w:rsidR="00957ADC" w:rsidRDefault="00957ADC" w:rsidP="00957ADC">
      <w:pPr>
        <w:pStyle w:val="Heading2"/>
      </w:pPr>
      <w:r>
        <w:t>ECO 1.1</w:t>
      </w:r>
    </w:p>
    <w:p w:rsidR="00957ADC" w:rsidRPr="00AE67D7" w:rsidRDefault="00957ADC" w:rsidP="00957ADC">
      <w:pPr>
        <w:ind w:left="0"/>
        <w:rPr>
          <w:rFonts w:ascii="Arial" w:hAnsi="Arial" w:cs="Arial"/>
          <w:sz w:val="24"/>
          <w:szCs w:val="24"/>
        </w:rPr>
      </w:pPr>
      <w:r>
        <w:rPr>
          <w:rFonts w:ascii="Arial" w:hAnsi="Arial" w:cs="Arial"/>
          <w:sz w:val="24"/>
          <w:szCs w:val="24"/>
        </w:rPr>
        <w:t xml:space="preserve">There was a brief discussion on ECO 1.1.  The consultation had now closed and had not thrown up any surprises.  </w:t>
      </w:r>
      <w:r w:rsidR="00430877">
        <w:rPr>
          <w:rFonts w:ascii="Arial" w:hAnsi="Arial" w:cs="Arial"/>
          <w:sz w:val="24"/>
          <w:szCs w:val="24"/>
        </w:rPr>
        <w:t xml:space="preserve">The most likely date for </w:t>
      </w:r>
      <w:r w:rsidR="0030369A">
        <w:rPr>
          <w:rFonts w:ascii="Arial" w:hAnsi="Arial" w:cs="Arial"/>
          <w:sz w:val="24"/>
          <w:szCs w:val="24"/>
        </w:rPr>
        <w:t xml:space="preserve">legislation changes to </w:t>
      </w:r>
      <w:r>
        <w:rPr>
          <w:rFonts w:ascii="Arial" w:hAnsi="Arial" w:cs="Arial"/>
          <w:sz w:val="24"/>
          <w:szCs w:val="24"/>
        </w:rPr>
        <w:t>be implemented was April 2014.</w:t>
      </w:r>
    </w:p>
    <w:p w:rsidR="002F30E7" w:rsidRDefault="002F30E7" w:rsidP="00766F74">
      <w:pPr>
        <w:pStyle w:val="Heading2"/>
      </w:pPr>
      <w:r>
        <w:t>Another other Business</w:t>
      </w:r>
    </w:p>
    <w:p w:rsidR="0033002D" w:rsidRDefault="00957ADC" w:rsidP="0033002D">
      <w:pPr>
        <w:pStyle w:val="Heading2"/>
      </w:pPr>
      <w:r>
        <w:rPr>
          <w:rFonts w:ascii="Arial" w:hAnsi="Arial" w:cs="Arial"/>
          <w:b w:val="0"/>
          <w:color w:val="auto"/>
          <w:sz w:val="24"/>
          <w:szCs w:val="24"/>
        </w:rPr>
        <w:t xml:space="preserve">The Chair indicated that the Steering Group membership had outgrown the ability of DECC’s accommodation to satisfactorily </w:t>
      </w:r>
      <w:r w:rsidR="0033002D">
        <w:rPr>
          <w:rFonts w:ascii="Arial" w:hAnsi="Arial" w:cs="Arial"/>
          <w:b w:val="0"/>
          <w:color w:val="auto"/>
          <w:sz w:val="24"/>
          <w:szCs w:val="24"/>
        </w:rPr>
        <w:t xml:space="preserve">hold a meaningful meeting.  Therefore going forward, DECC would </w:t>
      </w:r>
      <w:r w:rsidR="00430877">
        <w:rPr>
          <w:rFonts w:ascii="Arial" w:hAnsi="Arial" w:cs="Arial"/>
          <w:b w:val="0"/>
          <w:color w:val="auto"/>
          <w:sz w:val="24"/>
          <w:szCs w:val="24"/>
        </w:rPr>
        <w:t xml:space="preserve">want only one </w:t>
      </w:r>
      <w:r w:rsidR="0033002D">
        <w:rPr>
          <w:rFonts w:ascii="Arial" w:hAnsi="Arial" w:cs="Arial"/>
          <w:b w:val="0"/>
          <w:color w:val="auto"/>
          <w:sz w:val="24"/>
          <w:szCs w:val="24"/>
        </w:rPr>
        <w:t>delegate per organization</w:t>
      </w:r>
      <w:r w:rsidR="00430877">
        <w:rPr>
          <w:rFonts w:ascii="Arial" w:hAnsi="Arial" w:cs="Arial"/>
          <w:b w:val="0"/>
          <w:color w:val="auto"/>
          <w:sz w:val="24"/>
          <w:szCs w:val="24"/>
        </w:rPr>
        <w:t>, and would only accommodate those members who had confirmed their attendance (through calendar appointment or email) in advance</w:t>
      </w:r>
      <w:r w:rsidR="0033002D">
        <w:rPr>
          <w:rFonts w:ascii="Arial" w:hAnsi="Arial" w:cs="Arial"/>
          <w:b w:val="0"/>
          <w:color w:val="auto"/>
          <w:sz w:val="24"/>
          <w:szCs w:val="24"/>
        </w:rPr>
        <w:t xml:space="preserve">.  Papers would continue to be circulated to a wider distribution and in response to </w:t>
      </w:r>
      <w:r w:rsidR="00B55750">
        <w:rPr>
          <w:rFonts w:ascii="Arial" w:hAnsi="Arial" w:cs="Arial"/>
          <w:b w:val="0"/>
          <w:color w:val="auto"/>
          <w:sz w:val="24"/>
          <w:szCs w:val="24"/>
        </w:rPr>
        <w:t>requests</w:t>
      </w:r>
      <w:r w:rsidR="00430877">
        <w:rPr>
          <w:rFonts w:ascii="Arial" w:hAnsi="Arial" w:cs="Arial"/>
          <w:b w:val="0"/>
          <w:color w:val="auto"/>
          <w:sz w:val="24"/>
          <w:szCs w:val="24"/>
        </w:rPr>
        <w:t>,</w:t>
      </w:r>
      <w:r w:rsidR="0033002D">
        <w:rPr>
          <w:rFonts w:ascii="Arial" w:hAnsi="Arial" w:cs="Arial"/>
          <w:b w:val="0"/>
          <w:color w:val="auto"/>
          <w:sz w:val="24"/>
          <w:szCs w:val="24"/>
        </w:rPr>
        <w:t xml:space="preserve"> </w:t>
      </w:r>
      <w:r w:rsidR="00430877">
        <w:rPr>
          <w:rFonts w:ascii="Arial" w:hAnsi="Arial" w:cs="Arial"/>
          <w:b w:val="0"/>
          <w:color w:val="auto"/>
          <w:sz w:val="24"/>
          <w:szCs w:val="24"/>
        </w:rPr>
        <w:t>papers, agendas and minutes</w:t>
      </w:r>
      <w:r w:rsidR="0033002D">
        <w:rPr>
          <w:rFonts w:ascii="Arial" w:hAnsi="Arial" w:cs="Arial"/>
          <w:b w:val="0"/>
          <w:color w:val="auto"/>
          <w:sz w:val="24"/>
          <w:szCs w:val="24"/>
        </w:rPr>
        <w:t xml:space="preserve"> would be published on the GOV website.</w:t>
      </w:r>
      <w:r w:rsidR="0033002D" w:rsidRPr="0033002D">
        <w:t xml:space="preserve"> </w:t>
      </w:r>
    </w:p>
    <w:p w:rsidR="00F6284F" w:rsidRDefault="00F6284F" w:rsidP="00766F74">
      <w:pPr>
        <w:pStyle w:val="Heading2"/>
      </w:pPr>
      <w:r>
        <w:t>Date of Next Meeting</w:t>
      </w:r>
    </w:p>
    <w:p w:rsidR="00F6284F" w:rsidRDefault="00F6284F" w:rsidP="00766F74">
      <w:pPr>
        <w:rPr>
          <w:rFonts w:ascii="Arial" w:hAnsi="Arial" w:cs="Arial"/>
          <w:sz w:val="24"/>
          <w:szCs w:val="24"/>
        </w:rPr>
      </w:pPr>
    </w:p>
    <w:p w:rsidR="00F6284F" w:rsidRPr="00766F74" w:rsidRDefault="0033002D" w:rsidP="00766F74">
      <w:pPr>
        <w:rPr>
          <w:rFonts w:ascii="Arial" w:hAnsi="Arial" w:cs="Arial"/>
          <w:sz w:val="24"/>
          <w:szCs w:val="24"/>
        </w:rPr>
      </w:pPr>
      <w:r>
        <w:rPr>
          <w:rFonts w:ascii="Arial" w:hAnsi="Arial" w:cs="Arial"/>
          <w:sz w:val="24"/>
          <w:szCs w:val="24"/>
        </w:rPr>
        <w:t>8</w:t>
      </w:r>
      <w:r w:rsidRPr="0033002D">
        <w:rPr>
          <w:rFonts w:ascii="Arial" w:hAnsi="Arial" w:cs="Arial"/>
          <w:sz w:val="24"/>
          <w:szCs w:val="24"/>
          <w:vertAlign w:val="superscript"/>
        </w:rPr>
        <w:t>th</w:t>
      </w:r>
      <w:r>
        <w:rPr>
          <w:rFonts w:ascii="Arial" w:hAnsi="Arial" w:cs="Arial"/>
          <w:sz w:val="24"/>
          <w:szCs w:val="24"/>
        </w:rPr>
        <w:t xml:space="preserve"> November 2013</w:t>
      </w:r>
      <w:r w:rsidR="00F6284F">
        <w:rPr>
          <w:rFonts w:ascii="Arial" w:hAnsi="Arial" w:cs="Arial"/>
          <w:sz w:val="24"/>
          <w:szCs w:val="24"/>
        </w:rPr>
        <w:t xml:space="preserve"> – subject</w:t>
      </w:r>
      <w:r w:rsidR="00766F74">
        <w:rPr>
          <w:rFonts w:ascii="Arial" w:hAnsi="Arial" w:cs="Arial"/>
          <w:sz w:val="24"/>
          <w:szCs w:val="24"/>
        </w:rPr>
        <w:t>s</w:t>
      </w:r>
      <w:r w:rsidR="00F6284F">
        <w:rPr>
          <w:rFonts w:ascii="Arial" w:hAnsi="Arial" w:cs="Arial"/>
          <w:sz w:val="24"/>
          <w:szCs w:val="24"/>
        </w:rPr>
        <w:t xml:space="preserve"> for discussion will be ECO </w:t>
      </w:r>
      <w:r>
        <w:rPr>
          <w:rFonts w:ascii="Arial" w:hAnsi="Arial" w:cs="Arial"/>
          <w:sz w:val="24"/>
          <w:szCs w:val="24"/>
        </w:rPr>
        <w:t>Brokerage.</w:t>
      </w:r>
    </w:p>
    <w:p w:rsidR="00972DBA" w:rsidRPr="00766F74" w:rsidRDefault="00972DBA" w:rsidP="000C5664">
      <w:pPr>
        <w:rPr>
          <w:rFonts w:ascii="Arial" w:hAnsi="Arial" w:cs="Arial"/>
          <w:color w:val="FF0000"/>
          <w:sz w:val="24"/>
          <w:szCs w:val="24"/>
        </w:rPr>
      </w:pPr>
    </w:p>
    <w:p w:rsidR="00C66789" w:rsidRDefault="00C66789" w:rsidP="00C66789">
      <w:pPr>
        <w:pStyle w:val="Heading2"/>
      </w:pPr>
      <w:r>
        <w:lastRenderedPageBreak/>
        <w:t>Action List</w:t>
      </w:r>
    </w:p>
    <w:tbl>
      <w:tblPr>
        <w:tblStyle w:val="TableGrid"/>
        <w:tblW w:w="0" w:type="auto"/>
        <w:tblLook w:val="04A0" w:firstRow="1" w:lastRow="0" w:firstColumn="1" w:lastColumn="0" w:noHBand="0" w:noVBand="1"/>
      </w:tblPr>
      <w:tblGrid>
        <w:gridCol w:w="8046"/>
        <w:gridCol w:w="1701"/>
        <w:gridCol w:w="1269"/>
      </w:tblGrid>
      <w:tr w:rsidR="00C66789" w:rsidTr="00C66789">
        <w:tc>
          <w:tcPr>
            <w:tcW w:w="8046" w:type="dxa"/>
          </w:tcPr>
          <w:p w:rsidR="00C66789" w:rsidRDefault="00C66789" w:rsidP="00C66789">
            <w:pPr>
              <w:pStyle w:val="Heading2"/>
              <w:pBdr>
                <w:bottom w:val="none" w:sz="0" w:space="0" w:color="auto"/>
              </w:pBdr>
              <w:outlineLvl w:val="1"/>
            </w:pPr>
            <w:r>
              <w:t>Action</w:t>
            </w:r>
          </w:p>
        </w:tc>
        <w:tc>
          <w:tcPr>
            <w:tcW w:w="1701" w:type="dxa"/>
          </w:tcPr>
          <w:p w:rsidR="00C66789" w:rsidRDefault="00C66789" w:rsidP="00C66789">
            <w:pPr>
              <w:pStyle w:val="Heading2"/>
              <w:pBdr>
                <w:bottom w:val="none" w:sz="0" w:space="0" w:color="auto"/>
              </w:pBdr>
              <w:outlineLvl w:val="1"/>
            </w:pPr>
            <w:r>
              <w:t>For Whom</w:t>
            </w:r>
          </w:p>
        </w:tc>
        <w:tc>
          <w:tcPr>
            <w:tcW w:w="1269" w:type="dxa"/>
          </w:tcPr>
          <w:p w:rsidR="00C66789" w:rsidRDefault="00C66789" w:rsidP="00C66789">
            <w:pPr>
              <w:pStyle w:val="Heading2"/>
              <w:pBdr>
                <w:bottom w:val="none" w:sz="0" w:space="0" w:color="auto"/>
              </w:pBdr>
              <w:outlineLvl w:val="1"/>
            </w:pPr>
            <w:r>
              <w:t>When</w:t>
            </w:r>
          </w:p>
        </w:tc>
      </w:tr>
      <w:tr w:rsidR="00C66789" w:rsidRPr="00CB4230" w:rsidTr="00C66789">
        <w:tc>
          <w:tcPr>
            <w:tcW w:w="8046" w:type="dxa"/>
          </w:tcPr>
          <w:p w:rsidR="00C66789" w:rsidRPr="00CB4230" w:rsidRDefault="00766F74">
            <w:pPr>
              <w:pStyle w:val="Heading2"/>
              <w:pBdr>
                <w:bottom w:val="none" w:sz="0" w:space="0" w:color="auto"/>
              </w:pBdr>
              <w:outlineLvl w:val="1"/>
              <w:rPr>
                <w:b w:val="0"/>
              </w:rPr>
            </w:pPr>
            <w:proofErr w:type="gramStart"/>
            <w:r>
              <w:rPr>
                <w:rFonts w:ascii="Arial" w:hAnsi="Arial" w:cs="Arial"/>
                <w:b w:val="0"/>
                <w:color w:val="FF0000"/>
                <w:sz w:val="24"/>
                <w:szCs w:val="24"/>
              </w:rPr>
              <w:t xml:space="preserve">Steering Group members to </w:t>
            </w:r>
            <w:r w:rsidR="0033002D">
              <w:rPr>
                <w:rFonts w:ascii="Arial" w:hAnsi="Arial" w:cs="Arial"/>
                <w:b w:val="0"/>
                <w:color w:val="FF0000"/>
                <w:sz w:val="24"/>
                <w:szCs w:val="24"/>
              </w:rPr>
              <w:t xml:space="preserve">provide feedback to Ofgem on </w:t>
            </w:r>
            <w:r w:rsidR="004412A1">
              <w:rPr>
                <w:rFonts w:ascii="Arial" w:hAnsi="Arial" w:cs="Arial"/>
                <w:b w:val="0"/>
                <w:color w:val="FF0000"/>
                <w:sz w:val="24"/>
                <w:szCs w:val="24"/>
              </w:rPr>
              <w:t xml:space="preserve">any unclear sections of </w:t>
            </w:r>
            <w:r w:rsidR="0033002D">
              <w:rPr>
                <w:rFonts w:ascii="Arial" w:hAnsi="Arial" w:cs="Arial"/>
                <w:b w:val="0"/>
                <w:color w:val="FF0000"/>
                <w:sz w:val="24"/>
                <w:szCs w:val="24"/>
              </w:rPr>
              <w:t>the Supplier Guidance.</w:t>
            </w:r>
            <w:proofErr w:type="gramEnd"/>
          </w:p>
        </w:tc>
        <w:tc>
          <w:tcPr>
            <w:tcW w:w="1701" w:type="dxa"/>
          </w:tcPr>
          <w:p w:rsidR="00C66789" w:rsidRPr="00CB4230" w:rsidRDefault="00766F74" w:rsidP="00C66789">
            <w:pPr>
              <w:pStyle w:val="Heading2"/>
              <w:pBdr>
                <w:bottom w:val="none" w:sz="0" w:space="0" w:color="auto"/>
              </w:pBdr>
              <w:outlineLvl w:val="1"/>
              <w:rPr>
                <w:b w:val="0"/>
              </w:rPr>
            </w:pPr>
            <w:r>
              <w:rPr>
                <w:b w:val="0"/>
              </w:rPr>
              <w:t>Steering Group</w:t>
            </w:r>
          </w:p>
        </w:tc>
        <w:tc>
          <w:tcPr>
            <w:tcW w:w="1269" w:type="dxa"/>
          </w:tcPr>
          <w:p w:rsidR="00C66789" w:rsidRPr="00CB4230" w:rsidRDefault="0033002D" w:rsidP="00C66789">
            <w:pPr>
              <w:pStyle w:val="Heading2"/>
              <w:pBdr>
                <w:bottom w:val="none" w:sz="0" w:space="0" w:color="auto"/>
              </w:pBdr>
              <w:outlineLvl w:val="1"/>
              <w:rPr>
                <w:b w:val="0"/>
              </w:rPr>
            </w:pPr>
            <w:r>
              <w:rPr>
                <w:b w:val="0"/>
              </w:rPr>
              <w:t>30 November</w:t>
            </w:r>
          </w:p>
        </w:tc>
      </w:tr>
      <w:tr w:rsidR="00C66789" w:rsidRPr="00CB4230" w:rsidTr="00C66789">
        <w:tc>
          <w:tcPr>
            <w:tcW w:w="8046" w:type="dxa"/>
          </w:tcPr>
          <w:p w:rsidR="00C66789" w:rsidRPr="00CB4230" w:rsidRDefault="0033002D" w:rsidP="00CB4230">
            <w:pPr>
              <w:pStyle w:val="Heading2"/>
              <w:pBdr>
                <w:bottom w:val="none" w:sz="0" w:space="0" w:color="auto"/>
              </w:pBdr>
              <w:outlineLvl w:val="1"/>
              <w:rPr>
                <w:b w:val="0"/>
              </w:rPr>
            </w:pPr>
            <w:proofErr w:type="gramStart"/>
            <w:r>
              <w:rPr>
                <w:rFonts w:ascii="Arial" w:hAnsi="Arial" w:cs="Arial"/>
                <w:b w:val="0"/>
                <w:color w:val="FF0000"/>
                <w:sz w:val="24"/>
                <w:szCs w:val="24"/>
              </w:rPr>
              <w:t>Steering Group to provide comments on the Action Plan to Marcus Brooks.</w:t>
            </w:r>
            <w:proofErr w:type="gramEnd"/>
            <w:r w:rsidR="00766F74">
              <w:rPr>
                <w:rFonts w:ascii="Arial" w:hAnsi="Arial" w:cs="Arial"/>
                <w:b w:val="0"/>
                <w:color w:val="FF0000"/>
                <w:sz w:val="24"/>
                <w:szCs w:val="24"/>
              </w:rPr>
              <w:t xml:space="preserve"> </w:t>
            </w:r>
          </w:p>
        </w:tc>
        <w:tc>
          <w:tcPr>
            <w:tcW w:w="1701" w:type="dxa"/>
          </w:tcPr>
          <w:p w:rsidR="00C66789" w:rsidRPr="00CB4230" w:rsidRDefault="0033002D" w:rsidP="00C66789">
            <w:pPr>
              <w:pStyle w:val="Heading2"/>
              <w:pBdr>
                <w:bottom w:val="none" w:sz="0" w:space="0" w:color="auto"/>
              </w:pBdr>
              <w:outlineLvl w:val="1"/>
              <w:rPr>
                <w:b w:val="0"/>
              </w:rPr>
            </w:pPr>
            <w:r>
              <w:rPr>
                <w:b w:val="0"/>
              </w:rPr>
              <w:t>Steering Group</w:t>
            </w:r>
          </w:p>
        </w:tc>
        <w:tc>
          <w:tcPr>
            <w:tcW w:w="1269" w:type="dxa"/>
          </w:tcPr>
          <w:p w:rsidR="00C66789" w:rsidRPr="00CB4230" w:rsidRDefault="0033002D" w:rsidP="00C66789">
            <w:pPr>
              <w:pStyle w:val="Heading2"/>
              <w:pBdr>
                <w:bottom w:val="none" w:sz="0" w:space="0" w:color="auto"/>
              </w:pBdr>
              <w:outlineLvl w:val="1"/>
              <w:rPr>
                <w:b w:val="0"/>
              </w:rPr>
            </w:pPr>
            <w:r>
              <w:rPr>
                <w:b w:val="0"/>
              </w:rPr>
              <w:t>21 October</w:t>
            </w:r>
          </w:p>
        </w:tc>
      </w:tr>
    </w:tbl>
    <w:p w:rsidR="007D489D" w:rsidRDefault="007D489D" w:rsidP="00C66789">
      <w:pPr>
        <w:pStyle w:val="Heading2"/>
        <w:rPr>
          <w:b w:val="0"/>
        </w:rPr>
      </w:pPr>
    </w:p>
    <w:p w:rsidR="007D489D" w:rsidRDefault="007D489D" w:rsidP="007D489D">
      <w:r>
        <w:br w:type="page"/>
      </w:r>
    </w:p>
    <w:p w:rsidR="001501F9" w:rsidRDefault="007D489D" w:rsidP="00C66789">
      <w:pPr>
        <w:pStyle w:val="Heading2"/>
        <w:rPr>
          <w:b w:val="0"/>
        </w:rPr>
      </w:pPr>
      <w:r>
        <w:rPr>
          <w:b w:val="0"/>
        </w:rPr>
        <w:lastRenderedPageBreak/>
        <w:t>Attendees</w:t>
      </w:r>
    </w:p>
    <w:p w:rsidR="007D489D" w:rsidRDefault="007D489D" w:rsidP="007D489D"/>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73"/>
        <w:gridCol w:w="5471"/>
      </w:tblGrid>
      <w:tr w:rsidR="0051049D" w:rsidTr="007D489D">
        <w:tc>
          <w:tcPr>
            <w:tcW w:w="5508" w:type="dxa"/>
          </w:tcPr>
          <w:p w:rsidR="0051049D" w:rsidRDefault="0051049D" w:rsidP="007D489D">
            <w:pPr>
              <w:ind w:left="0"/>
            </w:pPr>
            <w:r>
              <w:t>Siobhan Stanger (Chair)</w:t>
            </w:r>
          </w:p>
        </w:tc>
        <w:tc>
          <w:tcPr>
            <w:tcW w:w="5508" w:type="dxa"/>
          </w:tcPr>
          <w:p w:rsidR="0051049D" w:rsidRDefault="0051049D" w:rsidP="007D489D">
            <w:pPr>
              <w:ind w:left="0"/>
            </w:pPr>
            <w:r>
              <w:t>DECC</w:t>
            </w:r>
          </w:p>
        </w:tc>
      </w:tr>
      <w:tr w:rsidR="007D489D" w:rsidTr="007D489D">
        <w:tc>
          <w:tcPr>
            <w:tcW w:w="5508" w:type="dxa"/>
          </w:tcPr>
          <w:p w:rsidR="007D489D" w:rsidRDefault="007D489D" w:rsidP="007D489D">
            <w:pPr>
              <w:ind w:left="0"/>
            </w:pPr>
            <w:r>
              <w:t>Adrian Wright</w:t>
            </w:r>
          </w:p>
        </w:tc>
        <w:tc>
          <w:tcPr>
            <w:tcW w:w="5508" w:type="dxa"/>
          </w:tcPr>
          <w:p w:rsidR="007D489D" w:rsidRDefault="007D489D" w:rsidP="007D489D">
            <w:pPr>
              <w:ind w:left="0"/>
            </w:pPr>
            <w:r>
              <w:t>Happy Energy</w:t>
            </w:r>
          </w:p>
        </w:tc>
      </w:tr>
      <w:tr w:rsidR="007D489D" w:rsidTr="007D489D">
        <w:tc>
          <w:tcPr>
            <w:tcW w:w="5508" w:type="dxa"/>
          </w:tcPr>
          <w:p w:rsidR="007D489D" w:rsidRDefault="007D489D" w:rsidP="007D489D">
            <w:pPr>
              <w:ind w:left="0"/>
            </w:pPr>
            <w:r>
              <w:t>Andy Charalambous</w:t>
            </w:r>
          </w:p>
        </w:tc>
        <w:tc>
          <w:tcPr>
            <w:tcW w:w="5508" w:type="dxa"/>
          </w:tcPr>
          <w:p w:rsidR="007D489D" w:rsidRDefault="007D489D" w:rsidP="007D489D">
            <w:pPr>
              <w:ind w:left="0"/>
            </w:pPr>
            <w:r>
              <w:t>GD Scheme</w:t>
            </w:r>
          </w:p>
        </w:tc>
      </w:tr>
      <w:tr w:rsidR="007D489D" w:rsidTr="007D489D">
        <w:tc>
          <w:tcPr>
            <w:tcW w:w="5508" w:type="dxa"/>
          </w:tcPr>
          <w:p w:rsidR="007D489D" w:rsidRDefault="007D489D" w:rsidP="007D489D">
            <w:pPr>
              <w:ind w:left="0"/>
            </w:pPr>
            <w:r>
              <w:t>David Osman</w:t>
            </w:r>
          </w:p>
        </w:tc>
        <w:tc>
          <w:tcPr>
            <w:tcW w:w="5508" w:type="dxa"/>
          </w:tcPr>
          <w:p w:rsidR="007D489D" w:rsidRDefault="007D489D" w:rsidP="007D489D">
            <w:pPr>
              <w:ind w:left="0"/>
            </w:pPr>
            <w:r>
              <w:t>RWE nPower</w:t>
            </w:r>
          </w:p>
        </w:tc>
      </w:tr>
      <w:tr w:rsidR="007D489D" w:rsidTr="007D489D">
        <w:tc>
          <w:tcPr>
            <w:tcW w:w="5508" w:type="dxa"/>
          </w:tcPr>
          <w:p w:rsidR="007D489D" w:rsidRDefault="007D489D" w:rsidP="007D489D">
            <w:pPr>
              <w:ind w:left="0"/>
            </w:pPr>
            <w:r>
              <w:t>Christopher Ridgeway</w:t>
            </w:r>
          </w:p>
        </w:tc>
        <w:tc>
          <w:tcPr>
            <w:tcW w:w="5508" w:type="dxa"/>
          </w:tcPr>
          <w:p w:rsidR="007D489D" w:rsidRDefault="007D489D" w:rsidP="007D489D">
            <w:pPr>
              <w:ind w:left="0"/>
            </w:pPr>
            <w:r>
              <w:t>Ridgeway Partnership</w:t>
            </w:r>
          </w:p>
        </w:tc>
      </w:tr>
      <w:tr w:rsidR="007D489D" w:rsidTr="007D489D">
        <w:tc>
          <w:tcPr>
            <w:tcW w:w="5508" w:type="dxa"/>
          </w:tcPr>
          <w:p w:rsidR="007D489D" w:rsidRDefault="007D489D" w:rsidP="007D489D">
            <w:pPr>
              <w:ind w:left="0"/>
            </w:pPr>
            <w:r>
              <w:t>Claire Doherty</w:t>
            </w:r>
          </w:p>
        </w:tc>
        <w:tc>
          <w:tcPr>
            <w:tcW w:w="5508" w:type="dxa"/>
          </w:tcPr>
          <w:p w:rsidR="007D489D" w:rsidRDefault="007D489D" w:rsidP="007D489D">
            <w:pPr>
              <w:ind w:left="0"/>
            </w:pPr>
            <w:r>
              <w:t>Scottish Power</w:t>
            </w:r>
          </w:p>
        </w:tc>
      </w:tr>
      <w:tr w:rsidR="007D489D" w:rsidTr="007D489D">
        <w:tc>
          <w:tcPr>
            <w:tcW w:w="5508" w:type="dxa"/>
          </w:tcPr>
          <w:p w:rsidR="007D489D" w:rsidRDefault="007D489D" w:rsidP="007D489D">
            <w:pPr>
              <w:ind w:left="0"/>
            </w:pPr>
            <w:r>
              <w:t>Clarissa Corbisiero</w:t>
            </w:r>
          </w:p>
        </w:tc>
        <w:tc>
          <w:tcPr>
            <w:tcW w:w="5508" w:type="dxa"/>
          </w:tcPr>
          <w:p w:rsidR="007D489D" w:rsidRDefault="007D489D" w:rsidP="007D489D">
            <w:pPr>
              <w:ind w:left="0"/>
            </w:pPr>
            <w:r>
              <w:t>Local Government Association</w:t>
            </w:r>
          </w:p>
        </w:tc>
      </w:tr>
      <w:tr w:rsidR="007D489D" w:rsidTr="007D489D">
        <w:tc>
          <w:tcPr>
            <w:tcW w:w="5508" w:type="dxa"/>
          </w:tcPr>
          <w:p w:rsidR="007D489D" w:rsidRDefault="007D489D" w:rsidP="007D489D">
            <w:pPr>
              <w:ind w:left="0"/>
            </w:pPr>
            <w:r>
              <w:t>Jeremy Parsons</w:t>
            </w:r>
          </w:p>
        </w:tc>
        <w:tc>
          <w:tcPr>
            <w:tcW w:w="5508" w:type="dxa"/>
          </w:tcPr>
          <w:p w:rsidR="007D489D" w:rsidRDefault="007D489D" w:rsidP="007D489D">
            <w:pPr>
              <w:ind w:left="0"/>
            </w:pPr>
            <w:r>
              <w:t>K F Homes</w:t>
            </w:r>
          </w:p>
        </w:tc>
      </w:tr>
      <w:tr w:rsidR="007D489D" w:rsidTr="007D489D">
        <w:tc>
          <w:tcPr>
            <w:tcW w:w="5508" w:type="dxa"/>
          </w:tcPr>
          <w:p w:rsidR="007D489D" w:rsidRDefault="007D489D" w:rsidP="007D489D">
            <w:pPr>
              <w:ind w:left="0"/>
            </w:pPr>
            <w:r>
              <w:t>John Mason</w:t>
            </w:r>
          </w:p>
        </w:tc>
        <w:tc>
          <w:tcPr>
            <w:tcW w:w="5508" w:type="dxa"/>
          </w:tcPr>
          <w:p w:rsidR="007D489D" w:rsidRDefault="007D489D" w:rsidP="007D489D">
            <w:pPr>
              <w:ind w:left="0"/>
            </w:pPr>
            <w:r>
              <w:t>EDF Energy</w:t>
            </w:r>
          </w:p>
        </w:tc>
      </w:tr>
      <w:tr w:rsidR="007D489D" w:rsidTr="007D489D">
        <w:tc>
          <w:tcPr>
            <w:tcW w:w="5508" w:type="dxa"/>
          </w:tcPr>
          <w:p w:rsidR="007D489D" w:rsidRDefault="00522C66" w:rsidP="007D489D">
            <w:pPr>
              <w:ind w:left="0"/>
            </w:pPr>
            <w:r>
              <w:t xml:space="preserve">Kirk Rogers </w:t>
            </w:r>
          </w:p>
        </w:tc>
        <w:tc>
          <w:tcPr>
            <w:tcW w:w="5508" w:type="dxa"/>
          </w:tcPr>
          <w:p w:rsidR="007D489D" w:rsidRDefault="00522C66" w:rsidP="007D489D">
            <w:pPr>
              <w:ind w:left="0"/>
            </w:pPr>
            <w:r>
              <w:t>Climate Energy</w:t>
            </w:r>
          </w:p>
        </w:tc>
      </w:tr>
      <w:tr w:rsidR="00522C66" w:rsidTr="007D489D">
        <w:tc>
          <w:tcPr>
            <w:tcW w:w="5508" w:type="dxa"/>
          </w:tcPr>
          <w:p w:rsidR="00522C66" w:rsidRDefault="00522C66" w:rsidP="007D489D">
            <w:pPr>
              <w:ind w:left="0"/>
            </w:pPr>
            <w:r>
              <w:t>Matthew Tunstall</w:t>
            </w:r>
          </w:p>
        </w:tc>
        <w:tc>
          <w:tcPr>
            <w:tcW w:w="5508" w:type="dxa"/>
          </w:tcPr>
          <w:p w:rsidR="00522C66" w:rsidRDefault="00522C66" w:rsidP="007D489D">
            <w:pPr>
              <w:ind w:left="0"/>
            </w:pPr>
            <w:r>
              <w:t>Anesco</w:t>
            </w:r>
          </w:p>
        </w:tc>
      </w:tr>
      <w:tr w:rsidR="00522C66" w:rsidTr="007D489D">
        <w:tc>
          <w:tcPr>
            <w:tcW w:w="5508" w:type="dxa"/>
          </w:tcPr>
          <w:p w:rsidR="00522C66" w:rsidRDefault="00522C66" w:rsidP="007D489D">
            <w:pPr>
              <w:ind w:left="0"/>
            </w:pPr>
            <w:r>
              <w:t xml:space="preserve">Mike </w:t>
            </w:r>
            <w:proofErr w:type="spellStart"/>
            <w:r>
              <w:t>Newll</w:t>
            </w:r>
            <w:proofErr w:type="spellEnd"/>
          </w:p>
        </w:tc>
        <w:tc>
          <w:tcPr>
            <w:tcW w:w="5508" w:type="dxa"/>
          </w:tcPr>
          <w:p w:rsidR="00522C66" w:rsidRDefault="00522C66" w:rsidP="007D489D">
            <w:pPr>
              <w:ind w:left="0"/>
            </w:pPr>
            <w:r>
              <w:t>EON</w:t>
            </w:r>
          </w:p>
        </w:tc>
      </w:tr>
      <w:tr w:rsidR="00522C66" w:rsidTr="007D489D">
        <w:tc>
          <w:tcPr>
            <w:tcW w:w="5508" w:type="dxa"/>
          </w:tcPr>
          <w:p w:rsidR="00522C66" w:rsidRDefault="00522C66" w:rsidP="007D489D">
            <w:pPr>
              <w:ind w:left="0"/>
            </w:pPr>
            <w:r>
              <w:t>Paul Roche</w:t>
            </w:r>
          </w:p>
        </w:tc>
        <w:tc>
          <w:tcPr>
            <w:tcW w:w="5508" w:type="dxa"/>
          </w:tcPr>
          <w:p w:rsidR="00522C66" w:rsidRDefault="00522C66" w:rsidP="007D489D">
            <w:pPr>
              <w:ind w:left="0"/>
            </w:pPr>
            <w:r>
              <w:t>Grafton</w:t>
            </w:r>
          </w:p>
        </w:tc>
      </w:tr>
      <w:tr w:rsidR="00522C66" w:rsidTr="007D489D">
        <w:tc>
          <w:tcPr>
            <w:tcW w:w="5508" w:type="dxa"/>
          </w:tcPr>
          <w:p w:rsidR="00522C66" w:rsidRDefault="00522C66" w:rsidP="007D489D">
            <w:pPr>
              <w:ind w:left="0"/>
            </w:pPr>
            <w:r>
              <w:t>Paul Joyner</w:t>
            </w:r>
          </w:p>
        </w:tc>
        <w:tc>
          <w:tcPr>
            <w:tcW w:w="5508" w:type="dxa"/>
          </w:tcPr>
          <w:p w:rsidR="00522C66" w:rsidRDefault="00522C66" w:rsidP="007D489D">
            <w:pPr>
              <w:ind w:left="0"/>
            </w:pPr>
            <w:r>
              <w:t>Travis Perkins</w:t>
            </w:r>
          </w:p>
        </w:tc>
      </w:tr>
      <w:tr w:rsidR="00522C66" w:rsidTr="007D489D">
        <w:tc>
          <w:tcPr>
            <w:tcW w:w="5508" w:type="dxa"/>
          </w:tcPr>
          <w:p w:rsidR="00522C66" w:rsidRDefault="00522C66" w:rsidP="007D489D">
            <w:pPr>
              <w:ind w:left="0"/>
            </w:pPr>
            <w:r>
              <w:t>Peter O’Neil</w:t>
            </w:r>
          </w:p>
        </w:tc>
        <w:tc>
          <w:tcPr>
            <w:tcW w:w="5508" w:type="dxa"/>
          </w:tcPr>
          <w:p w:rsidR="00522C66" w:rsidRDefault="00522C66" w:rsidP="007D489D">
            <w:pPr>
              <w:ind w:left="0"/>
            </w:pPr>
            <w:r>
              <w:t>Insta</w:t>
            </w:r>
          </w:p>
        </w:tc>
      </w:tr>
      <w:tr w:rsidR="00522C66" w:rsidTr="007D489D">
        <w:tc>
          <w:tcPr>
            <w:tcW w:w="5508" w:type="dxa"/>
          </w:tcPr>
          <w:p w:rsidR="00522C66" w:rsidRDefault="00522C66" w:rsidP="007D489D">
            <w:pPr>
              <w:ind w:left="0"/>
            </w:pPr>
            <w:r>
              <w:t>Pippa Read</w:t>
            </w:r>
          </w:p>
        </w:tc>
        <w:tc>
          <w:tcPr>
            <w:tcW w:w="5508" w:type="dxa"/>
          </w:tcPr>
          <w:p w:rsidR="00522C66" w:rsidRDefault="00522C66" w:rsidP="007D489D">
            <w:pPr>
              <w:ind w:left="0"/>
            </w:pPr>
            <w:r>
              <w:t>National Housing Federation</w:t>
            </w:r>
          </w:p>
        </w:tc>
      </w:tr>
      <w:tr w:rsidR="00522C66" w:rsidTr="007D489D">
        <w:tc>
          <w:tcPr>
            <w:tcW w:w="5508" w:type="dxa"/>
          </w:tcPr>
          <w:p w:rsidR="00522C66" w:rsidRDefault="00522C66" w:rsidP="007D489D">
            <w:pPr>
              <w:ind w:left="0"/>
            </w:pPr>
            <w:r>
              <w:t>Sally Harrison</w:t>
            </w:r>
          </w:p>
        </w:tc>
        <w:tc>
          <w:tcPr>
            <w:tcW w:w="5508" w:type="dxa"/>
          </w:tcPr>
          <w:p w:rsidR="00522C66" w:rsidRDefault="00522C66" w:rsidP="007D489D">
            <w:pPr>
              <w:ind w:left="0"/>
            </w:pPr>
            <w:r>
              <w:t>Carillion</w:t>
            </w:r>
          </w:p>
        </w:tc>
      </w:tr>
      <w:tr w:rsidR="00522C66" w:rsidTr="007D489D">
        <w:tc>
          <w:tcPr>
            <w:tcW w:w="5508" w:type="dxa"/>
          </w:tcPr>
          <w:p w:rsidR="00522C66" w:rsidRDefault="00522C66" w:rsidP="007D489D">
            <w:pPr>
              <w:ind w:left="0"/>
            </w:pPr>
            <w:r>
              <w:t>Sofia Gkiousou</w:t>
            </w:r>
          </w:p>
        </w:tc>
        <w:tc>
          <w:tcPr>
            <w:tcW w:w="5508" w:type="dxa"/>
          </w:tcPr>
          <w:p w:rsidR="00522C66" w:rsidRDefault="00522C66" w:rsidP="007D489D">
            <w:pPr>
              <w:ind w:left="0"/>
            </w:pPr>
            <w:proofErr w:type="spellStart"/>
            <w:r>
              <w:t>EnergyUK</w:t>
            </w:r>
            <w:proofErr w:type="spellEnd"/>
          </w:p>
        </w:tc>
      </w:tr>
      <w:tr w:rsidR="00522C66" w:rsidTr="007D489D">
        <w:tc>
          <w:tcPr>
            <w:tcW w:w="5508" w:type="dxa"/>
          </w:tcPr>
          <w:p w:rsidR="00522C66" w:rsidRDefault="00522C66" w:rsidP="007D489D">
            <w:pPr>
              <w:ind w:left="0"/>
            </w:pPr>
            <w:r>
              <w:t>Victor Baines</w:t>
            </w:r>
          </w:p>
        </w:tc>
        <w:tc>
          <w:tcPr>
            <w:tcW w:w="5508" w:type="dxa"/>
          </w:tcPr>
          <w:p w:rsidR="00522C66" w:rsidRDefault="00522C66" w:rsidP="007D489D">
            <w:pPr>
              <w:ind w:left="0"/>
            </w:pPr>
            <w:r>
              <w:t>GD Energy Services</w:t>
            </w:r>
          </w:p>
        </w:tc>
      </w:tr>
      <w:tr w:rsidR="00522C66" w:rsidTr="007D489D">
        <w:tc>
          <w:tcPr>
            <w:tcW w:w="5508" w:type="dxa"/>
          </w:tcPr>
          <w:p w:rsidR="00522C66" w:rsidRDefault="00522C66" w:rsidP="007D489D">
            <w:pPr>
              <w:ind w:left="0"/>
            </w:pPr>
            <w:r>
              <w:t>Aileen Duffy</w:t>
            </w:r>
          </w:p>
        </w:tc>
        <w:tc>
          <w:tcPr>
            <w:tcW w:w="5508" w:type="dxa"/>
          </w:tcPr>
          <w:p w:rsidR="00522C66" w:rsidRDefault="00522C66" w:rsidP="007D489D">
            <w:pPr>
              <w:ind w:left="0"/>
            </w:pPr>
            <w:r>
              <w:t>Ofgem</w:t>
            </w:r>
          </w:p>
        </w:tc>
      </w:tr>
      <w:tr w:rsidR="00522C66" w:rsidTr="007D489D">
        <w:tc>
          <w:tcPr>
            <w:tcW w:w="5508" w:type="dxa"/>
          </w:tcPr>
          <w:p w:rsidR="00522C66" w:rsidRDefault="00522C66" w:rsidP="007D489D">
            <w:pPr>
              <w:ind w:left="0"/>
            </w:pPr>
            <w:r>
              <w:t>Walter French</w:t>
            </w:r>
          </w:p>
        </w:tc>
        <w:tc>
          <w:tcPr>
            <w:tcW w:w="5508" w:type="dxa"/>
          </w:tcPr>
          <w:p w:rsidR="00522C66" w:rsidRDefault="00522C66" w:rsidP="007D489D">
            <w:pPr>
              <w:ind w:left="0"/>
            </w:pPr>
            <w:r>
              <w:t>Mark Group</w:t>
            </w:r>
          </w:p>
        </w:tc>
      </w:tr>
      <w:tr w:rsidR="00522C66" w:rsidTr="007D489D">
        <w:tc>
          <w:tcPr>
            <w:tcW w:w="5508" w:type="dxa"/>
          </w:tcPr>
          <w:p w:rsidR="00522C66" w:rsidRDefault="00522C66" w:rsidP="007D489D">
            <w:pPr>
              <w:ind w:left="0"/>
            </w:pPr>
            <w:r>
              <w:t>William Gillis</w:t>
            </w:r>
          </w:p>
        </w:tc>
        <w:tc>
          <w:tcPr>
            <w:tcW w:w="5508" w:type="dxa"/>
          </w:tcPr>
          <w:p w:rsidR="00522C66" w:rsidRDefault="00522C66" w:rsidP="007D489D">
            <w:pPr>
              <w:ind w:left="0"/>
            </w:pPr>
            <w:r>
              <w:t>Warm Zones</w:t>
            </w:r>
          </w:p>
        </w:tc>
      </w:tr>
      <w:tr w:rsidR="00522C66" w:rsidTr="007D489D">
        <w:tc>
          <w:tcPr>
            <w:tcW w:w="5508" w:type="dxa"/>
          </w:tcPr>
          <w:p w:rsidR="00522C66" w:rsidRDefault="00522C66" w:rsidP="007D489D">
            <w:pPr>
              <w:ind w:left="0"/>
            </w:pPr>
            <w:r>
              <w:t>Neil Marshal</w:t>
            </w:r>
          </w:p>
        </w:tc>
        <w:tc>
          <w:tcPr>
            <w:tcW w:w="5508" w:type="dxa"/>
          </w:tcPr>
          <w:p w:rsidR="00522C66" w:rsidRDefault="00522C66" w:rsidP="007D489D">
            <w:pPr>
              <w:ind w:left="0"/>
            </w:pPr>
            <w:r>
              <w:t>National Insulation Association</w:t>
            </w:r>
          </w:p>
        </w:tc>
      </w:tr>
      <w:tr w:rsidR="00522C66" w:rsidTr="007D489D">
        <w:tc>
          <w:tcPr>
            <w:tcW w:w="5508" w:type="dxa"/>
          </w:tcPr>
          <w:p w:rsidR="00522C66" w:rsidRDefault="00522C66" w:rsidP="007D489D">
            <w:pPr>
              <w:ind w:left="0"/>
            </w:pPr>
            <w:r>
              <w:t>James Court</w:t>
            </w:r>
          </w:p>
        </w:tc>
        <w:tc>
          <w:tcPr>
            <w:tcW w:w="5508" w:type="dxa"/>
          </w:tcPr>
          <w:p w:rsidR="00522C66" w:rsidRDefault="00522C66" w:rsidP="007D489D">
            <w:pPr>
              <w:ind w:left="0"/>
            </w:pPr>
            <w:r>
              <w:t>Consumer Futures</w:t>
            </w:r>
          </w:p>
        </w:tc>
      </w:tr>
      <w:tr w:rsidR="00522C66" w:rsidTr="007D489D">
        <w:tc>
          <w:tcPr>
            <w:tcW w:w="5508" w:type="dxa"/>
          </w:tcPr>
          <w:p w:rsidR="00522C66" w:rsidRDefault="00522C66" w:rsidP="007D489D">
            <w:pPr>
              <w:ind w:left="0"/>
            </w:pPr>
            <w:r>
              <w:t>Chetan Lad</w:t>
            </w:r>
          </w:p>
        </w:tc>
        <w:tc>
          <w:tcPr>
            <w:tcW w:w="5508" w:type="dxa"/>
          </w:tcPr>
          <w:p w:rsidR="00522C66" w:rsidRDefault="00522C66" w:rsidP="007D489D">
            <w:pPr>
              <w:ind w:left="0"/>
            </w:pPr>
            <w:r>
              <w:t>Centrica</w:t>
            </w:r>
          </w:p>
        </w:tc>
      </w:tr>
      <w:tr w:rsidR="00522C66" w:rsidTr="007D489D">
        <w:tc>
          <w:tcPr>
            <w:tcW w:w="5508" w:type="dxa"/>
          </w:tcPr>
          <w:p w:rsidR="00522C66" w:rsidRDefault="00522C66" w:rsidP="007D489D">
            <w:pPr>
              <w:ind w:left="0"/>
            </w:pPr>
            <w:r>
              <w:t>Cassie Sutherland</w:t>
            </w:r>
          </w:p>
        </w:tc>
        <w:tc>
          <w:tcPr>
            <w:tcW w:w="5508" w:type="dxa"/>
          </w:tcPr>
          <w:p w:rsidR="00522C66" w:rsidRDefault="00522C66" w:rsidP="007D489D">
            <w:pPr>
              <w:ind w:left="0"/>
            </w:pPr>
            <w:r>
              <w:t>Ofgem</w:t>
            </w:r>
          </w:p>
        </w:tc>
      </w:tr>
      <w:tr w:rsidR="00522C66" w:rsidTr="007D489D">
        <w:tc>
          <w:tcPr>
            <w:tcW w:w="5508" w:type="dxa"/>
          </w:tcPr>
          <w:p w:rsidR="00522C66" w:rsidRDefault="00522C66" w:rsidP="007D489D">
            <w:pPr>
              <w:ind w:left="0"/>
            </w:pPr>
            <w:r>
              <w:t>Zach Cashin</w:t>
            </w:r>
          </w:p>
        </w:tc>
        <w:tc>
          <w:tcPr>
            <w:tcW w:w="5508" w:type="dxa"/>
          </w:tcPr>
          <w:p w:rsidR="00522C66" w:rsidRDefault="00522C66" w:rsidP="007D489D">
            <w:pPr>
              <w:ind w:left="0"/>
            </w:pPr>
            <w:r>
              <w:t>Ofgem</w:t>
            </w:r>
          </w:p>
        </w:tc>
      </w:tr>
      <w:tr w:rsidR="00522C66" w:rsidTr="007D489D">
        <w:tc>
          <w:tcPr>
            <w:tcW w:w="5508" w:type="dxa"/>
          </w:tcPr>
          <w:p w:rsidR="00522C66" w:rsidRDefault="00522C66" w:rsidP="007D489D">
            <w:pPr>
              <w:ind w:left="0"/>
            </w:pPr>
            <w:r>
              <w:t>Deborah Dillon</w:t>
            </w:r>
          </w:p>
        </w:tc>
        <w:tc>
          <w:tcPr>
            <w:tcW w:w="5508" w:type="dxa"/>
          </w:tcPr>
          <w:p w:rsidR="00522C66" w:rsidRDefault="00522C66" w:rsidP="007D489D">
            <w:pPr>
              <w:ind w:left="0"/>
            </w:pPr>
            <w:r>
              <w:t>Co-Operative</w:t>
            </w:r>
          </w:p>
        </w:tc>
      </w:tr>
      <w:tr w:rsidR="00522C66" w:rsidTr="007D489D">
        <w:tc>
          <w:tcPr>
            <w:tcW w:w="5508" w:type="dxa"/>
          </w:tcPr>
          <w:p w:rsidR="00522C66" w:rsidRDefault="00522C66" w:rsidP="007D489D">
            <w:pPr>
              <w:ind w:left="0"/>
            </w:pPr>
            <w:r>
              <w:lastRenderedPageBreak/>
              <w:t>Frances Williamson</w:t>
            </w:r>
          </w:p>
        </w:tc>
        <w:tc>
          <w:tcPr>
            <w:tcW w:w="5508" w:type="dxa"/>
          </w:tcPr>
          <w:p w:rsidR="00522C66" w:rsidRDefault="00522C66" w:rsidP="007D489D">
            <w:pPr>
              <w:ind w:left="0"/>
            </w:pPr>
            <w:proofErr w:type="spellStart"/>
            <w:r>
              <w:t>EnergyUK</w:t>
            </w:r>
            <w:proofErr w:type="spellEnd"/>
          </w:p>
        </w:tc>
      </w:tr>
      <w:tr w:rsidR="00522C66" w:rsidTr="007D489D">
        <w:tc>
          <w:tcPr>
            <w:tcW w:w="5508" w:type="dxa"/>
          </w:tcPr>
          <w:p w:rsidR="00522C66" w:rsidRDefault="00522C66" w:rsidP="007D489D">
            <w:pPr>
              <w:ind w:left="0"/>
            </w:pPr>
            <w:r>
              <w:t xml:space="preserve">Anna </w:t>
            </w:r>
            <w:proofErr w:type="spellStart"/>
            <w:r>
              <w:t>Livesey</w:t>
            </w:r>
            <w:proofErr w:type="spellEnd"/>
          </w:p>
        </w:tc>
        <w:tc>
          <w:tcPr>
            <w:tcW w:w="5508" w:type="dxa"/>
          </w:tcPr>
          <w:p w:rsidR="00522C66" w:rsidRDefault="00522C66" w:rsidP="007D489D">
            <w:pPr>
              <w:ind w:left="0"/>
            </w:pPr>
            <w:proofErr w:type="spellStart"/>
            <w:r>
              <w:t>Micropower</w:t>
            </w:r>
            <w:proofErr w:type="spellEnd"/>
            <w:r>
              <w:t xml:space="preserve"> Council</w:t>
            </w:r>
          </w:p>
        </w:tc>
      </w:tr>
      <w:tr w:rsidR="00522C66" w:rsidTr="007D489D">
        <w:tc>
          <w:tcPr>
            <w:tcW w:w="5508" w:type="dxa"/>
          </w:tcPr>
          <w:p w:rsidR="00522C66" w:rsidRDefault="00522C66" w:rsidP="007D489D">
            <w:pPr>
              <w:ind w:left="0"/>
            </w:pPr>
            <w:r>
              <w:t>Jane Knight</w:t>
            </w:r>
          </w:p>
        </w:tc>
        <w:tc>
          <w:tcPr>
            <w:tcW w:w="5508" w:type="dxa"/>
          </w:tcPr>
          <w:p w:rsidR="00522C66" w:rsidRDefault="00522C66" w:rsidP="007D489D">
            <w:pPr>
              <w:ind w:left="0"/>
            </w:pPr>
            <w:r>
              <w:t>Network Green Deal Ltd</w:t>
            </w:r>
          </w:p>
        </w:tc>
      </w:tr>
      <w:tr w:rsidR="0051049D" w:rsidTr="007D489D">
        <w:tc>
          <w:tcPr>
            <w:tcW w:w="5508" w:type="dxa"/>
          </w:tcPr>
          <w:p w:rsidR="0051049D" w:rsidRDefault="0051049D" w:rsidP="007D489D">
            <w:pPr>
              <w:ind w:left="0"/>
            </w:pPr>
            <w:r>
              <w:t>Stephen Millward</w:t>
            </w:r>
          </w:p>
        </w:tc>
        <w:tc>
          <w:tcPr>
            <w:tcW w:w="5508" w:type="dxa"/>
          </w:tcPr>
          <w:p w:rsidR="0051049D" w:rsidRDefault="0051049D" w:rsidP="007D489D">
            <w:pPr>
              <w:ind w:left="0"/>
            </w:pPr>
            <w:r>
              <w:t>SSE</w:t>
            </w:r>
          </w:p>
        </w:tc>
      </w:tr>
      <w:tr w:rsidR="00522C66" w:rsidTr="007D489D">
        <w:tc>
          <w:tcPr>
            <w:tcW w:w="5508" w:type="dxa"/>
          </w:tcPr>
          <w:p w:rsidR="00522C66" w:rsidRDefault="0051049D" w:rsidP="007D489D">
            <w:pPr>
              <w:ind w:left="0"/>
            </w:pPr>
            <w:r>
              <w:t>Nicola O’Connor</w:t>
            </w:r>
          </w:p>
        </w:tc>
        <w:tc>
          <w:tcPr>
            <w:tcW w:w="5508" w:type="dxa"/>
          </w:tcPr>
          <w:p w:rsidR="00522C66" w:rsidRDefault="0051049D" w:rsidP="007D489D">
            <w:pPr>
              <w:ind w:left="0"/>
            </w:pPr>
            <w:r>
              <w:t>DECC</w:t>
            </w:r>
          </w:p>
        </w:tc>
      </w:tr>
      <w:tr w:rsidR="0051049D" w:rsidTr="007D489D">
        <w:tc>
          <w:tcPr>
            <w:tcW w:w="5508" w:type="dxa"/>
          </w:tcPr>
          <w:p w:rsidR="0051049D" w:rsidRDefault="0051049D" w:rsidP="007D489D">
            <w:pPr>
              <w:ind w:left="0"/>
            </w:pPr>
            <w:r>
              <w:t>Hanne Giil</w:t>
            </w:r>
          </w:p>
        </w:tc>
        <w:tc>
          <w:tcPr>
            <w:tcW w:w="5508" w:type="dxa"/>
          </w:tcPr>
          <w:p w:rsidR="0051049D" w:rsidRDefault="0051049D" w:rsidP="007D489D">
            <w:pPr>
              <w:ind w:left="0"/>
            </w:pPr>
            <w:r>
              <w:t>DECC</w:t>
            </w:r>
          </w:p>
        </w:tc>
      </w:tr>
      <w:tr w:rsidR="0051049D" w:rsidTr="007D489D">
        <w:tc>
          <w:tcPr>
            <w:tcW w:w="5508" w:type="dxa"/>
          </w:tcPr>
          <w:p w:rsidR="0051049D" w:rsidRDefault="0051049D" w:rsidP="007D489D">
            <w:pPr>
              <w:ind w:left="0"/>
            </w:pPr>
            <w:r>
              <w:t>Jo Keefe</w:t>
            </w:r>
          </w:p>
        </w:tc>
        <w:tc>
          <w:tcPr>
            <w:tcW w:w="5508" w:type="dxa"/>
          </w:tcPr>
          <w:p w:rsidR="0051049D" w:rsidRDefault="0051049D" w:rsidP="007D489D">
            <w:pPr>
              <w:ind w:left="0"/>
            </w:pPr>
            <w:r>
              <w:t>DECC</w:t>
            </w:r>
          </w:p>
        </w:tc>
      </w:tr>
      <w:tr w:rsidR="0051049D" w:rsidTr="007D489D">
        <w:tc>
          <w:tcPr>
            <w:tcW w:w="5508" w:type="dxa"/>
          </w:tcPr>
          <w:p w:rsidR="0051049D" w:rsidRDefault="0051049D" w:rsidP="007D489D">
            <w:pPr>
              <w:ind w:left="0"/>
            </w:pPr>
            <w:r>
              <w:t>Chris Nicholls</w:t>
            </w:r>
          </w:p>
        </w:tc>
        <w:tc>
          <w:tcPr>
            <w:tcW w:w="5508" w:type="dxa"/>
          </w:tcPr>
          <w:p w:rsidR="0051049D" w:rsidRDefault="0051049D" w:rsidP="007D489D">
            <w:pPr>
              <w:ind w:left="0"/>
            </w:pPr>
            <w:r>
              <w:t>DECC</w:t>
            </w:r>
          </w:p>
        </w:tc>
      </w:tr>
      <w:tr w:rsidR="0051049D" w:rsidTr="007D489D">
        <w:tc>
          <w:tcPr>
            <w:tcW w:w="5508" w:type="dxa"/>
          </w:tcPr>
          <w:p w:rsidR="0051049D" w:rsidRDefault="0051049D" w:rsidP="007D489D">
            <w:pPr>
              <w:ind w:left="0"/>
            </w:pPr>
            <w:r>
              <w:t>Rita Wadey</w:t>
            </w:r>
          </w:p>
        </w:tc>
        <w:tc>
          <w:tcPr>
            <w:tcW w:w="5508" w:type="dxa"/>
          </w:tcPr>
          <w:p w:rsidR="0051049D" w:rsidRDefault="0051049D" w:rsidP="007D489D">
            <w:pPr>
              <w:ind w:left="0"/>
            </w:pPr>
            <w:r>
              <w:t>DECC</w:t>
            </w:r>
          </w:p>
        </w:tc>
      </w:tr>
      <w:tr w:rsidR="0051049D" w:rsidTr="007D489D">
        <w:tc>
          <w:tcPr>
            <w:tcW w:w="5508" w:type="dxa"/>
          </w:tcPr>
          <w:p w:rsidR="0051049D" w:rsidRDefault="0051049D" w:rsidP="007D489D">
            <w:pPr>
              <w:ind w:left="0"/>
            </w:pPr>
            <w:r>
              <w:t>Paul Egerton (Secretariat)</w:t>
            </w:r>
          </w:p>
        </w:tc>
        <w:tc>
          <w:tcPr>
            <w:tcW w:w="5508" w:type="dxa"/>
          </w:tcPr>
          <w:p w:rsidR="0051049D" w:rsidRDefault="0051049D" w:rsidP="007D489D">
            <w:pPr>
              <w:ind w:left="0"/>
            </w:pPr>
            <w:r>
              <w:t>DECC</w:t>
            </w:r>
          </w:p>
        </w:tc>
      </w:tr>
    </w:tbl>
    <w:p w:rsidR="007D489D" w:rsidRPr="007D489D" w:rsidRDefault="007D489D" w:rsidP="007D489D"/>
    <w:sectPr w:rsidR="007D489D" w:rsidRPr="007D489D" w:rsidSect="00B86026">
      <w:headerReference w:type="default" r:id="rId8"/>
      <w:footerReference w:type="default" r:id="rId9"/>
      <w:headerReference w:type="firs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F4A" w:rsidRDefault="00470F4A">
      <w:pPr>
        <w:spacing w:before="0" w:after="0"/>
      </w:pPr>
      <w:r>
        <w:separator/>
      </w:r>
    </w:p>
  </w:endnote>
  <w:endnote w:type="continuationSeparator" w:id="0">
    <w:p w:rsidR="00470F4A" w:rsidRDefault="00470F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0A8" w:rsidRDefault="00FA4C5A">
    <w:pPr>
      <w:pStyle w:val="Footer"/>
    </w:pPr>
    <w:r>
      <w:t xml:space="preserve">Page </w:t>
    </w:r>
    <w:r w:rsidR="00FC40D6">
      <w:fldChar w:fldCharType="begin"/>
    </w:r>
    <w:r>
      <w:instrText xml:space="preserve"> PAGE   \* MERGEFORMAT </w:instrText>
    </w:r>
    <w:r w:rsidR="00FC40D6">
      <w:fldChar w:fldCharType="separate"/>
    </w:r>
    <w:r w:rsidR="00552D3D">
      <w:rPr>
        <w:noProof/>
      </w:rPr>
      <w:t>1</w:t>
    </w:r>
    <w:r w:rsidR="00FC40D6">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F4A" w:rsidRDefault="00470F4A">
      <w:pPr>
        <w:spacing w:before="0" w:after="0"/>
      </w:pPr>
      <w:r>
        <w:separator/>
      </w:r>
    </w:p>
  </w:footnote>
  <w:footnote w:type="continuationSeparator" w:id="0">
    <w:p w:rsidR="00470F4A" w:rsidRDefault="00470F4A">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F0C" w:rsidRDefault="00FA4C5A">
    <w:pPr>
      <w:pStyle w:val="Header"/>
    </w:pPr>
    <w:r>
      <w:rPr>
        <w:noProof/>
        <w:sz w:val="22"/>
        <w:lang w:val="en-GB" w:eastAsia="en-GB"/>
      </w:rPr>
      <w:drawing>
        <wp:inline distT="0" distB="0" distL="0" distR="0">
          <wp:extent cx="1485900" cy="990600"/>
          <wp:effectExtent l="0" t="0" r="0" b="0"/>
          <wp:docPr id="1" name="Picture 1" descr="DECC_CYAN_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CC_CYAN_A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9906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F0C" w:rsidRDefault="00FA4C5A">
    <w:pPr>
      <w:pStyle w:val="Header"/>
    </w:pPr>
    <w:r>
      <w:rPr>
        <w:noProof/>
        <w:sz w:val="22"/>
        <w:lang w:val="en-GB" w:eastAsia="en-GB"/>
      </w:rPr>
      <w:drawing>
        <wp:inline distT="0" distB="0" distL="0" distR="0">
          <wp:extent cx="1485900" cy="990600"/>
          <wp:effectExtent l="0" t="0" r="0" b="0"/>
          <wp:docPr id="2" name="Picture 2" descr="DECC_CYAN_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CC_CYAN_A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9906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573A2"/>
    <w:multiLevelType w:val="hybridMultilevel"/>
    <w:tmpl w:val="AFD63DA0"/>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1">
    <w:nsid w:val="1F7875F8"/>
    <w:multiLevelType w:val="hybridMultilevel"/>
    <w:tmpl w:val="D438158E"/>
    <w:lvl w:ilvl="0" w:tplc="08090001">
      <w:start w:val="1"/>
      <w:numFmt w:val="bullet"/>
      <w:lvlText w:val=""/>
      <w:lvlJc w:val="left"/>
      <w:pPr>
        <w:ind w:left="855" w:hanging="360"/>
      </w:pPr>
      <w:rPr>
        <w:rFonts w:ascii="Symbol" w:hAnsi="Symbol"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2">
    <w:nsid w:val="318279C7"/>
    <w:multiLevelType w:val="hybridMultilevel"/>
    <w:tmpl w:val="1152DF34"/>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3">
    <w:nsid w:val="59B23C06"/>
    <w:multiLevelType w:val="hybridMultilevel"/>
    <w:tmpl w:val="C0784A54"/>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4">
    <w:nsid w:val="609915E7"/>
    <w:multiLevelType w:val="hybridMultilevel"/>
    <w:tmpl w:val="C39CC048"/>
    <w:lvl w:ilvl="0" w:tplc="08090001">
      <w:start w:val="1"/>
      <w:numFmt w:val="bullet"/>
      <w:lvlText w:val=""/>
      <w:lvlJc w:val="left"/>
      <w:pPr>
        <w:ind w:left="855" w:hanging="360"/>
      </w:pPr>
      <w:rPr>
        <w:rFonts w:ascii="Symbol" w:hAnsi="Symbol"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5">
    <w:nsid w:val="741E63DE"/>
    <w:multiLevelType w:val="hybridMultilevel"/>
    <w:tmpl w:val="1D64D6D6"/>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6">
    <w:nsid w:val="7EEF6ACE"/>
    <w:multiLevelType w:val="hybridMultilevel"/>
    <w:tmpl w:val="4B3E1274"/>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num w:numId="1">
    <w:abstractNumId w:val="6"/>
  </w:num>
  <w:num w:numId="2">
    <w:abstractNumId w:val="5"/>
  </w:num>
  <w:num w:numId="3">
    <w:abstractNumId w:val="2"/>
  </w:num>
  <w:num w:numId="4">
    <w:abstractNumId w:val="1"/>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821CD"/>
    <w:rsid w:val="00081B69"/>
    <w:rsid w:val="0008673D"/>
    <w:rsid w:val="000C2889"/>
    <w:rsid w:val="000C5664"/>
    <w:rsid w:val="000E72BE"/>
    <w:rsid w:val="00111FD0"/>
    <w:rsid w:val="00125ABB"/>
    <w:rsid w:val="0017343E"/>
    <w:rsid w:val="001800DD"/>
    <w:rsid w:val="00186FC5"/>
    <w:rsid w:val="001A40EA"/>
    <w:rsid w:val="0020572D"/>
    <w:rsid w:val="002F30E7"/>
    <w:rsid w:val="002F7FC2"/>
    <w:rsid w:val="0030369A"/>
    <w:rsid w:val="0033002D"/>
    <w:rsid w:val="003701EC"/>
    <w:rsid w:val="003E73A9"/>
    <w:rsid w:val="004145A9"/>
    <w:rsid w:val="004225AA"/>
    <w:rsid w:val="004259E7"/>
    <w:rsid w:val="00430877"/>
    <w:rsid w:val="004412A1"/>
    <w:rsid w:val="00470F4A"/>
    <w:rsid w:val="00487E9E"/>
    <w:rsid w:val="004D0BE5"/>
    <w:rsid w:val="004D7D4F"/>
    <w:rsid w:val="0051049D"/>
    <w:rsid w:val="00522C66"/>
    <w:rsid w:val="00524E00"/>
    <w:rsid w:val="00532454"/>
    <w:rsid w:val="00552D3D"/>
    <w:rsid w:val="005C147F"/>
    <w:rsid w:val="005E4A5A"/>
    <w:rsid w:val="00645DF4"/>
    <w:rsid w:val="00652203"/>
    <w:rsid w:val="00653B52"/>
    <w:rsid w:val="0065483E"/>
    <w:rsid w:val="00736A50"/>
    <w:rsid w:val="00763A9F"/>
    <w:rsid w:val="00766F74"/>
    <w:rsid w:val="00772B30"/>
    <w:rsid w:val="0077723C"/>
    <w:rsid w:val="00777F0B"/>
    <w:rsid w:val="007A38EF"/>
    <w:rsid w:val="007B73D4"/>
    <w:rsid w:val="007D489D"/>
    <w:rsid w:val="00810115"/>
    <w:rsid w:val="0081228A"/>
    <w:rsid w:val="00873DF5"/>
    <w:rsid w:val="008E514A"/>
    <w:rsid w:val="00957ADC"/>
    <w:rsid w:val="00963FA4"/>
    <w:rsid w:val="00972DBA"/>
    <w:rsid w:val="00974231"/>
    <w:rsid w:val="00996846"/>
    <w:rsid w:val="009A16E0"/>
    <w:rsid w:val="009A2CF0"/>
    <w:rsid w:val="009A5B29"/>
    <w:rsid w:val="009C44B8"/>
    <w:rsid w:val="009E6774"/>
    <w:rsid w:val="009F7C7F"/>
    <w:rsid w:val="00A0667E"/>
    <w:rsid w:val="00A20855"/>
    <w:rsid w:val="00A67961"/>
    <w:rsid w:val="00AA2A3A"/>
    <w:rsid w:val="00AC4838"/>
    <w:rsid w:val="00AD37B6"/>
    <w:rsid w:val="00AE67D7"/>
    <w:rsid w:val="00B17004"/>
    <w:rsid w:val="00B36188"/>
    <w:rsid w:val="00B55750"/>
    <w:rsid w:val="00B62FFE"/>
    <w:rsid w:val="00B63193"/>
    <w:rsid w:val="00BD1A9D"/>
    <w:rsid w:val="00BD5737"/>
    <w:rsid w:val="00C66789"/>
    <w:rsid w:val="00C821CD"/>
    <w:rsid w:val="00CA241A"/>
    <w:rsid w:val="00CB0728"/>
    <w:rsid w:val="00CB4230"/>
    <w:rsid w:val="00CD0E15"/>
    <w:rsid w:val="00CE1196"/>
    <w:rsid w:val="00CE690C"/>
    <w:rsid w:val="00CF3404"/>
    <w:rsid w:val="00D946B1"/>
    <w:rsid w:val="00DA3234"/>
    <w:rsid w:val="00DB032D"/>
    <w:rsid w:val="00E03D3B"/>
    <w:rsid w:val="00E06CE2"/>
    <w:rsid w:val="00E56D08"/>
    <w:rsid w:val="00E86F4F"/>
    <w:rsid w:val="00E92FD7"/>
    <w:rsid w:val="00EB3B59"/>
    <w:rsid w:val="00F171FC"/>
    <w:rsid w:val="00F34062"/>
    <w:rsid w:val="00F6284F"/>
    <w:rsid w:val="00F7204A"/>
    <w:rsid w:val="00F9164E"/>
    <w:rsid w:val="00FA4C5A"/>
    <w:rsid w:val="00FB7344"/>
    <w:rsid w:val="00FC40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1"/>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1CD"/>
    <w:pPr>
      <w:spacing w:before="120" w:after="40" w:line="240" w:lineRule="auto"/>
      <w:ind w:left="72"/>
    </w:pPr>
    <w:rPr>
      <w:rFonts w:eastAsiaTheme="minorEastAsia"/>
      <w:sz w:val="21"/>
      <w:szCs w:val="21"/>
      <w:lang w:val="en-US" w:eastAsia="ja-JP"/>
    </w:rPr>
  </w:style>
  <w:style w:type="paragraph" w:styleId="Heading2">
    <w:name w:val="heading 2"/>
    <w:basedOn w:val="Normal"/>
    <w:next w:val="Normal"/>
    <w:link w:val="Heading2Char"/>
    <w:unhideWhenUsed/>
    <w:qFormat/>
    <w:rsid w:val="00C821CD"/>
    <w:pPr>
      <w:pBdr>
        <w:bottom w:val="single" w:sz="12" w:space="1" w:color="9BBB59" w:themeColor="accent3"/>
      </w:pBdr>
      <w:spacing w:before="240"/>
      <w:ind w:left="0"/>
      <w:outlineLvl w:val="1"/>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821CD"/>
    <w:rPr>
      <w:rFonts w:asciiTheme="majorHAnsi" w:eastAsiaTheme="majorEastAsia" w:hAnsiTheme="majorHAnsi" w:cstheme="majorBidi"/>
      <w:b/>
      <w:bCs/>
      <w:color w:val="4F81BD" w:themeColor="accent1"/>
      <w:sz w:val="21"/>
      <w:szCs w:val="21"/>
      <w:lang w:val="en-US" w:eastAsia="ja-JP"/>
    </w:rPr>
  </w:style>
  <w:style w:type="table" w:styleId="TableGrid">
    <w:name w:val="Table Grid"/>
    <w:basedOn w:val="TableNormal"/>
    <w:uiPriority w:val="39"/>
    <w:rsid w:val="00C821CD"/>
    <w:pPr>
      <w:spacing w:after="0" w:line="240" w:lineRule="auto"/>
    </w:pPr>
    <w:rPr>
      <w:rFonts w:eastAsiaTheme="minorEastAsia"/>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1"/>
    <w:unhideWhenUsed/>
    <w:rsid w:val="00C821CD"/>
    <w:pPr>
      <w:tabs>
        <w:tab w:val="center" w:pos="4680"/>
        <w:tab w:val="right" w:pos="9360"/>
      </w:tabs>
      <w:spacing w:before="0" w:after="0"/>
      <w:jc w:val="right"/>
    </w:pPr>
  </w:style>
  <w:style w:type="character" w:customStyle="1" w:styleId="FooterChar">
    <w:name w:val="Footer Char"/>
    <w:basedOn w:val="DefaultParagraphFont"/>
    <w:link w:val="Footer"/>
    <w:uiPriority w:val="1"/>
    <w:rsid w:val="00C821CD"/>
    <w:rPr>
      <w:rFonts w:eastAsiaTheme="minorEastAsia"/>
      <w:sz w:val="21"/>
      <w:szCs w:val="21"/>
      <w:lang w:val="en-US" w:eastAsia="ja-JP"/>
    </w:rPr>
  </w:style>
  <w:style w:type="paragraph" w:styleId="Title">
    <w:name w:val="Title"/>
    <w:basedOn w:val="Normal"/>
    <w:next w:val="Normal"/>
    <w:link w:val="TitleChar"/>
    <w:qFormat/>
    <w:rsid w:val="00C821CD"/>
    <w:pPr>
      <w:ind w:left="0"/>
    </w:pPr>
    <w:rPr>
      <w:rFonts w:asciiTheme="majorHAnsi" w:eastAsiaTheme="majorEastAsia" w:hAnsiTheme="majorHAnsi" w:cstheme="majorBidi"/>
      <w:color w:val="C0504D" w:themeColor="accent2"/>
      <w:sz w:val="50"/>
      <w:szCs w:val="50"/>
    </w:rPr>
  </w:style>
  <w:style w:type="character" w:customStyle="1" w:styleId="TitleChar">
    <w:name w:val="Title Char"/>
    <w:basedOn w:val="DefaultParagraphFont"/>
    <w:link w:val="Title"/>
    <w:rsid w:val="00C821CD"/>
    <w:rPr>
      <w:rFonts w:asciiTheme="majorHAnsi" w:eastAsiaTheme="majorEastAsia" w:hAnsiTheme="majorHAnsi" w:cstheme="majorBidi"/>
      <w:color w:val="C0504D" w:themeColor="accent2"/>
      <w:sz w:val="50"/>
      <w:szCs w:val="50"/>
      <w:lang w:val="en-US" w:eastAsia="ja-JP"/>
    </w:rPr>
  </w:style>
  <w:style w:type="paragraph" w:styleId="Subtitle">
    <w:name w:val="Subtitle"/>
    <w:basedOn w:val="Normal"/>
    <w:next w:val="Normal"/>
    <w:link w:val="SubtitleChar"/>
    <w:unhideWhenUsed/>
    <w:qFormat/>
    <w:rsid w:val="00C821CD"/>
    <w:pPr>
      <w:keepNext/>
      <w:keepLines/>
      <w:numPr>
        <w:ilvl w:val="1"/>
      </w:numPr>
      <w:pBdr>
        <w:top w:val="single" w:sz="4" w:space="1" w:color="9BBB59" w:themeColor="accent3"/>
      </w:pBdr>
      <w:spacing w:before="360" w:after="160"/>
      <w:ind w:left="72"/>
    </w:pPr>
    <w:rPr>
      <w:rFonts w:asciiTheme="majorHAnsi" w:eastAsiaTheme="majorEastAsia" w:hAnsiTheme="majorHAnsi" w:cstheme="majorBidi"/>
      <w:color w:val="C0504D" w:themeColor="accent2"/>
      <w:spacing w:val="15"/>
    </w:rPr>
  </w:style>
  <w:style w:type="character" w:customStyle="1" w:styleId="SubtitleChar">
    <w:name w:val="Subtitle Char"/>
    <w:basedOn w:val="DefaultParagraphFont"/>
    <w:link w:val="Subtitle"/>
    <w:rsid w:val="00C821CD"/>
    <w:rPr>
      <w:rFonts w:asciiTheme="majorHAnsi" w:eastAsiaTheme="majorEastAsia" w:hAnsiTheme="majorHAnsi" w:cstheme="majorBidi"/>
      <w:color w:val="C0504D" w:themeColor="accent2"/>
      <w:spacing w:val="15"/>
      <w:sz w:val="21"/>
      <w:szCs w:val="21"/>
      <w:lang w:val="en-US" w:eastAsia="ja-JP"/>
    </w:rPr>
  </w:style>
  <w:style w:type="paragraph" w:styleId="Header">
    <w:name w:val="header"/>
    <w:basedOn w:val="Normal"/>
    <w:link w:val="HeaderChar"/>
    <w:uiPriority w:val="99"/>
    <w:unhideWhenUsed/>
    <w:rsid w:val="00C821CD"/>
    <w:pPr>
      <w:tabs>
        <w:tab w:val="center" w:pos="4680"/>
        <w:tab w:val="right" w:pos="9360"/>
      </w:tabs>
      <w:spacing w:before="0" w:after="0"/>
    </w:pPr>
  </w:style>
  <w:style w:type="character" w:customStyle="1" w:styleId="HeaderChar">
    <w:name w:val="Header Char"/>
    <w:basedOn w:val="DefaultParagraphFont"/>
    <w:link w:val="Header"/>
    <w:uiPriority w:val="99"/>
    <w:rsid w:val="00C821CD"/>
    <w:rPr>
      <w:rFonts w:eastAsiaTheme="minorEastAsia"/>
      <w:sz w:val="21"/>
      <w:szCs w:val="21"/>
      <w:lang w:val="en-US" w:eastAsia="ja-JP"/>
    </w:rPr>
  </w:style>
  <w:style w:type="paragraph" w:styleId="ListParagraph">
    <w:name w:val="List Paragraph"/>
    <w:basedOn w:val="Normal"/>
    <w:uiPriority w:val="34"/>
    <w:unhideWhenUsed/>
    <w:qFormat/>
    <w:rsid w:val="00C821CD"/>
    <w:pPr>
      <w:ind w:left="720"/>
      <w:contextualSpacing/>
    </w:pPr>
  </w:style>
  <w:style w:type="paragraph" w:styleId="BalloonText">
    <w:name w:val="Balloon Text"/>
    <w:basedOn w:val="Normal"/>
    <w:link w:val="BalloonTextChar"/>
    <w:uiPriority w:val="99"/>
    <w:semiHidden/>
    <w:unhideWhenUsed/>
    <w:rsid w:val="00C821C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1CD"/>
    <w:rPr>
      <w:rFonts w:ascii="Tahoma" w:eastAsiaTheme="minorEastAsia" w:hAnsi="Tahoma" w:cs="Tahoma"/>
      <w:sz w:val="16"/>
      <w:szCs w:val="16"/>
      <w:lang w:val="en-US" w:eastAsia="ja-JP"/>
    </w:rPr>
  </w:style>
  <w:style w:type="character" w:styleId="CommentReference">
    <w:name w:val="annotation reference"/>
    <w:basedOn w:val="DefaultParagraphFont"/>
    <w:uiPriority w:val="99"/>
    <w:semiHidden/>
    <w:unhideWhenUsed/>
    <w:rsid w:val="00524E00"/>
    <w:rPr>
      <w:sz w:val="16"/>
      <w:szCs w:val="16"/>
    </w:rPr>
  </w:style>
  <w:style w:type="paragraph" w:styleId="CommentText">
    <w:name w:val="annotation text"/>
    <w:basedOn w:val="Normal"/>
    <w:link w:val="CommentTextChar"/>
    <w:uiPriority w:val="99"/>
    <w:semiHidden/>
    <w:unhideWhenUsed/>
    <w:rsid w:val="00524E00"/>
    <w:rPr>
      <w:sz w:val="20"/>
      <w:szCs w:val="20"/>
    </w:rPr>
  </w:style>
  <w:style w:type="character" w:customStyle="1" w:styleId="CommentTextChar">
    <w:name w:val="Comment Text Char"/>
    <w:basedOn w:val="DefaultParagraphFont"/>
    <w:link w:val="CommentText"/>
    <w:uiPriority w:val="99"/>
    <w:semiHidden/>
    <w:rsid w:val="00524E00"/>
    <w:rPr>
      <w:rFonts w:eastAsiaTheme="minorEastAsia"/>
      <w:sz w:val="20"/>
      <w:szCs w:val="20"/>
      <w:lang w:val="en-US" w:eastAsia="ja-JP"/>
    </w:rPr>
  </w:style>
  <w:style w:type="paragraph" w:styleId="CommentSubject">
    <w:name w:val="annotation subject"/>
    <w:basedOn w:val="CommentText"/>
    <w:next w:val="CommentText"/>
    <w:link w:val="CommentSubjectChar"/>
    <w:uiPriority w:val="99"/>
    <w:semiHidden/>
    <w:unhideWhenUsed/>
    <w:rsid w:val="00524E00"/>
    <w:rPr>
      <w:b/>
      <w:bCs/>
    </w:rPr>
  </w:style>
  <w:style w:type="character" w:customStyle="1" w:styleId="CommentSubjectChar">
    <w:name w:val="Comment Subject Char"/>
    <w:basedOn w:val="CommentTextChar"/>
    <w:link w:val="CommentSubject"/>
    <w:uiPriority w:val="99"/>
    <w:semiHidden/>
    <w:rsid w:val="00524E00"/>
    <w:rPr>
      <w:rFonts w:eastAsiaTheme="minorEastAsia"/>
      <w:b/>
      <w:bCs/>
      <w:sz w:val="20"/>
      <w:szCs w:val="20"/>
      <w:lang w:val="en-US" w:eastAsia="ja-JP"/>
    </w:rPr>
  </w:style>
  <w:style w:type="character" w:styleId="Hyperlink">
    <w:name w:val="Hyperlink"/>
    <w:basedOn w:val="DefaultParagraphFont"/>
    <w:uiPriority w:val="99"/>
    <w:unhideWhenUsed/>
    <w:rsid w:val="000C2889"/>
    <w:rPr>
      <w:color w:val="0000FF" w:themeColor="hyperlink"/>
      <w:u w:val="single"/>
    </w:rPr>
  </w:style>
  <w:style w:type="paragraph" w:styleId="Revision">
    <w:name w:val="Revision"/>
    <w:hidden/>
    <w:uiPriority w:val="99"/>
    <w:semiHidden/>
    <w:rsid w:val="00777F0B"/>
    <w:pPr>
      <w:spacing w:after="0" w:line="240" w:lineRule="auto"/>
    </w:pPr>
    <w:rPr>
      <w:rFonts w:eastAsiaTheme="minorEastAsia"/>
      <w:sz w:val="21"/>
      <w:szCs w:val="21"/>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1"/>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1CD"/>
    <w:pPr>
      <w:spacing w:before="120" w:after="40" w:line="240" w:lineRule="auto"/>
      <w:ind w:left="72"/>
    </w:pPr>
    <w:rPr>
      <w:rFonts w:eastAsiaTheme="minorEastAsia"/>
      <w:sz w:val="21"/>
      <w:szCs w:val="21"/>
      <w:lang w:val="en-US" w:eastAsia="ja-JP"/>
    </w:rPr>
  </w:style>
  <w:style w:type="paragraph" w:styleId="Heading2">
    <w:name w:val="heading 2"/>
    <w:basedOn w:val="Normal"/>
    <w:next w:val="Normal"/>
    <w:link w:val="Heading2Char"/>
    <w:unhideWhenUsed/>
    <w:qFormat/>
    <w:rsid w:val="00C821CD"/>
    <w:pPr>
      <w:pBdr>
        <w:bottom w:val="single" w:sz="12" w:space="1" w:color="9BBB59" w:themeColor="accent3"/>
      </w:pBdr>
      <w:spacing w:before="240"/>
      <w:ind w:left="0"/>
      <w:outlineLvl w:val="1"/>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821CD"/>
    <w:rPr>
      <w:rFonts w:asciiTheme="majorHAnsi" w:eastAsiaTheme="majorEastAsia" w:hAnsiTheme="majorHAnsi" w:cstheme="majorBidi"/>
      <w:b/>
      <w:bCs/>
      <w:color w:val="4F81BD" w:themeColor="accent1"/>
      <w:sz w:val="21"/>
      <w:szCs w:val="21"/>
      <w:lang w:val="en-US" w:eastAsia="ja-JP"/>
    </w:rPr>
  </w:style>
  <w:style w:type="table" w:styleId="TableGrid">
    <w:name w:val="Table Grid"/>
    <w:basedOn w:val="TableNormal"/>
    <w:uiPriority w:val="39"/>
    <w:rsid w:val="00C821CD"/>
    <w:pPr>
      <w:spacing w:after="0" w:line="240" w:lineRule="auto"/>
    </w:pPr>
    <w:rPr>
      <w:rFonts w:eastAsiaTheme="minorEastAsia"/>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1"/>
    <w:unhideWhenUsed/>
    <w:rsid w:val="00C821CD"/>
    <w:pPr>
      <w:tabs>
        <w:tab w:val="center" w:pos="4680"/>
        <w:tab w:val="right" w:pos="9360"/>
      </w:tabs>
      <w:spacing w:before="0" w:after="0"/>
      <w:jc w:val="right"/>
    </w:pPr>
  </w:style>
  <w:style w:type="character" w:customStyle="1" w:styleId="FooterChar">
    <w:name w:val="Footer Char"/>
    <w:basedOn w:val="DefaultParagraphFont"/>
    <w:link w:val="Footer"/>
    <w:uiPriority w:val="1"/>
    <w:rsid w:val="00C821CD"/>
    <w:rPr>
      <w:rFonts w:eastAsiaTheme="minorEastAsia"/>
      <w:sz w:val="21"/>
      <w:szCs w:val="21"/>
      <w:lang w:val="en-US" w:eastAsia="ja-JP"/>
    </w:rPr>
  </w:style>
  <w:style w:type="paragraph" w:styleId="Title">
    <w:name w:val="Title"/>
    <w:basedOn w:val="Normal"/>
    <w:next w:val="Normal"/>
    <w:link w:val="TitleChar"/>
    <w:qFormat/>
    <w:rsid w:val="00C821CD"/>
    <w:pPr>
      <w:ind w:left="0"/>
    </w:pPr>
    <w:rPr>
      <w:rFonts w:asciiTheme="majorHAnsi" w:eastAsiaTheme="majorEastAsia" w:hAnsiTheme="majorHAnsi" w:cstheme="majorBidi"/>
      <w:color w:val="C0504D" w:themeColor="accent2"/>
      <w:sz w:val="50"/>
      <w:szCs w:val="50"/>
    </w:rPr>
  </w:style>
  <w:style w:type="character" w:customStyle="1" w:styleId="TitleChar">
    <w:name w:val="Title Char"/>
    <w:basedOn w:val="DefaultParagraphFont"/>
    <w:link w:val="Title"/>
    <w:rsid w:val="00C821CD"/>
    <w:rPr>
      <w:rFonts w:asciiTheme="majorHAnsi" w:eastAsiaTheme="majorEastAsia" w:hAnsiTheme="majorHAnsi" w:cstheme="majorBidi"/>
      <w:color w:val="C0504D" w:themeColor="accent2"/>
      <w:sz w:val="50"/>
      <w:szCs w:val="50"/>
      <w:lang w:val="en-US" w:eastAsia="ja-JP"/>
    </w:rPr>
  </w:style>
  <w:style w:type="paragraph" w:styleId="Subtitle">
    <w:name w:val="Subtitle"/>
    <w:basedOn w:val="Normal"/>
    <w:next w:val="Normal"/>
    <w:link w:val="SubtitleChar"/>
    <w:unhideWhenUsed/>
    <w:qFormat/>
    <w:rsid w:val="00C821CD"/>
    <w:pPr>
      <w:keepNext/>
      <w:keepLines/>
      <w:numPr>
        <w:ilvl w:val="1"/>
      </w:numPr>
      <w:pBdr>
        <w:top w:val="single" w:sz="4" w:space="1" w:color="9BBB59" w:themeColor="accent3"/>
      </w:pBdr>
      <w:spacing w:before="360" w:after="160"/>
      <w:ind w:left="72"/>
    </w:pPr>
    <w:rPr>
      <w:rFonts w:asciiTheme="majorHAnsi" w:eastAsiaTheme="majorEastAsia" w:hAnsiTheme="majorHAnsi" w:cstheme="majorBidi"/>
      <w:color w:val="C0504D" w:themeColor="accent2"/>
      <w:spacing w:val="15"/>
    </w:rPr>
  </w:style>
  <w:style w:type="character" w:customStyle="1" w:styleId="SubtitleChar">
    <w:name w:val="Subtitle Char"/>
    <w:basedOn w:val="DefaultParagraphFont"/>
    <w:link w:val="Subtitle"/>
    <w:rsid w:val="00C821CD"/>
    <w:rPr>
      <w:rFonts w:asciiTheme="majorHAnsi" w:eastAsiaTheme="majorEastAsia" w:hAnsiTheme="majorHAnsi" w:cstheme="majorBidi"/>
      <w:color w:val="C0504D" w:themeColor="accent2"/>
      <w:spacing w:val="15"/>
      <w:sz w:val="21"/>
      <w:szCs w:val="21"/>
      <w:lang w:val="en-US" w:eastAsia="ja-JP"/>
    </w:rPr>
  </w:style>
  <w:style w:type="paragraph" w:styleId="Header">
    <w:name w:val="header"/>
    <w:basedOn w:val="Normal"/>
    <w:link w:val="HeaderChar"/>
    <w:uiPriority w:val="99"/>
    <w:unhideWhenUsed/>
    <w:rsid w:val="00C821CD"/>
    <w:pPr>
      <w:tabs>
        <w:tab w:val="center" w:pos="4680"/>
        <w:tab w:val="right" w:pos="9360"/>
      </w:tabs>
      <w:spacing w:before="0" w:after="0"/>
    </w:pPr>
  </w:style>
  <w:style w:type="character" w:customStyle="1" w:styleId="HeaderChar">
    <w:name w:val="Header Char"/>
    <w:basedOn w:val="DefaultParagraphFont"/>
    <w:link w:val="Header"/>
    <w:uiPriority w:val="99"/>
    <w:rsid w:val="00C821CD"/>
    <w:rPr>
      <w:rFonts w:eastAsiaTheme="minorEastAsia"/>
      <w:sz w:val="21"/>
      <w:szCs w:val="21"/>
      <w:lang w:val="en-US" w:eastAsia="ja-JP"/>
    </w:rPr>
  </w:style>
  <w:style w:type="paragraph" w:styleId="ListParagraph">
    <w:name w:val="List Paragraph"/>
    <w:basedOn w:val="Normal"/>
    <w:uiPriority w:val="34"/>
    <w:unhideWhenUsed/>
    <w:qFormat/>
    <w:rsid w:val="00C821CD"/>
    <w:pPr>
      <w:ind w:left="720"/>
      <w:contextualSpacing/>
    </w:pPr>
  </w:style>
  <w:style w:type="paragraph" w:styleId="BalloonText">
    <w:name w:val="Balloon Text"/>
    <w:basedOn w:val="Normal"/>
    <w:link w:val="BalloonTextChar"/>
    <w:uiPriority w:val="99"/>
    <w:semiHidden/>
    <w:unhideWhenUsed/>
    <w:rsid w:val="00C821C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1CD"/>
    <w:rPr>
      <w:rFonts w:ascii="Tahoma" w:eastAsiaTheme="minorEastAsia" w:hAnsi="Tahoma" w:cs="Tahoma"/>
      <w:sz w:val="16"/>
      <w:szCs w:val="16"/>
      <w:lang w:val="en-US" w:eastAsia="ja-JP"/>
    </w:rPr>
  </w:style>
  <w:style w:type="character" w:styleId="CommentReference">
    <w:name w:val="annotation reference"/>
    <w:basedOn w:val="DefaultParagraphFont"/>
    <w:uiPriority w:val="99"/>
    <w:semiHidden/>
    <w:unhideWhenUsed/>
    <w:rsid w:val="00524E00"/>
    <w:rPr>
      <w:sz w:val="16"/>
      <w:szCs w:val="16"/>
    </w:rPr>
  </w:style>
  <w:style w:type="paragraph" w:styleId="CommentText">
    <w:name w:val="annotation text"/>
    <w:basedOn w:val="Normal"/>
    <w:link w:val="CommentTextChar"/>
    <w:uiPriority w:val="99"/>
    <w:semiHidden/>
    <w:unhideWhenUsed/>
    <w:rsid w:val="00524E00"/>
    <w:rPr>
      <w:sz w:val="20"/>
      <w:szCs w:val="20"/>
    </w:rPr>
  </w:style>
  <w:style w:type="character" w:customStyle="1" w:styleId="CommentTextChar">
    <w:name w:val="Comment Text Char"/>
    <w:basedOn w:val="DefaultParagraphFont"/>
    <w:link w:val="CommentText"/>
    <w:uiPriority w:val="99"/>
    <w:semiHidden/>
    <w:rsid w:val="00524E00"/>
    <w:rPr>
      <w:rFonts w:eastAsiaTheme="minorEastAsia"/>
      <w:sz w:val="20"/>
      <w:szCs w:val="20"/>
      <w:lang w:val="en-US" w:eastAsia="ja-JP"/>
    </w:rPr>
  </w:style>
  <w:style w:type="paragraph" w:styleId="CommentSubject">
    <w:name w:val="annotation subject"/>
    <w:basedOn w:val="CommentText"/>
    <w:next w:val="CommentText"/>
    <w:link w:val="CommentSubjectChar"/>
    <w:uiPriority w:val="99"/>
    <w:semiHidden/>
    <w:unhideWhenUsed/>
    <w:rsid w:val="00524E00"/>
    <w:rPr>
      <w:b/>
      <w:bCs/>
    </w:rPr>
  </w:style>
  <w:style w:type="character" w:customStyle="1" w:styleId="CommentSubjectChar">
    <w:name w:val="Comment Subject Char"/>
    <w:basedOn w:val="CommentTextChar"/>
    <w:link w:val="CommentSubject"/>
    <w:uiPriority w:val="99"/>
    <w:semiHidden/>
    <w:rsid w:val="00524E00"/>
    <w:rPr>
      <w:rFonts w:eastAsiaTheme="minorEastAsia"/>
      <w:b/>
      <w:bCs/>
      <w:sz w:val="20"/>
      <w:szCs w:val="20"/>
      <w:lang w:val="en-US" w:eastAsia="ja-JP"/>
    </w:rPr>
  </w:style>
  <w:style w:type="character" w:styleId="Hyperlink">
    <w:name w:val="Hyperlink"/>
    <w:basedOn w:val="DefaultParagraphFont"/>
    <w:uiPriority w:val="99"/>
    <w:unhideWhenUsed/>
    <w:rsid w:val="000C2889"/>
    <w:rPr>
      <w:color w:val="0000FF" w:themeColor="hyperlink"/>
      <w:u w:val="single"/>
    </w:rPr>
  </w:style>
  <w:style w:type="paragraph" w:styleId="Revision">
    <w:name w:val="Revision"/>
    <w:hidden/>
    <w:uiPriority w:val="99"/>
    <w:semiHidden/>
    <w:rsid w:val="00777F0B"/>
    <w:pPr>
      <w:spacing w:after="0" w:line="240" w:lineRule="auto"/>
    </w:pPr>
    <w:rPr>
      <w:rFonts w:eastAsiaTheme="minorEastAsia"/>
      <w:sz w:val="21"/>
      <w:szCs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1568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FD8013AAA3E41039FC01B757CE61EB9"/>
        <w:category>
          <w:name w:val="General"/>
          <w:gallery w:val="placeholder"/>
        </w:category>
        <w:types>
          <w:type w:val="bbPlcHdr"/>
        </w:types>
        <w:behaviors>
          <w:behavior w:val="content"/>
        </w:behaviors>
        <w:guid w:val="{D2E30A3E-C0D1-4C03-8D5A-6F50D0368E82}"/>
      </w:docPartPr>
      <w:docPartBody>
        <w:p w:rsidR="00053A57" w:rsidRDefault="00E761AC" w:rsidP="00E761AC">
          <w:pPr>
            <w:pStyle w:val="FFD8013AAA3E41039FC01B757CE61EB9"/>
          </w:pPr>
          <w:r>
            <w:t>[Meeting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E761AC"/>
    <w:rsid w:val="000527F0"/>
    <w:rsid w:val="00053A57"/>
    <w:rsid w:val="00A55519"/>
    <w:rsid w:val="00E761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7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D8013AAA3E41039FC01B757CE61EB9">
    <w:name w:val="FFD8013AAA3E41039FC01B757CE61EB9"/>
    <w:rsid w:val="00E761A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13E82589</Template>
  <TotalTime>0</TotalTime>
  <Pages>5</Pages>
  <Words>928</Words>
  <Characters>5291</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DECC</Company>
  <LinksUpToDate>false</LinksUpToDate>
  <CharactersWithSpaces>6207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lbrun</dc:creator>
  <cp:lastModifiedBy>Egerton Paul (Green Deal)</cp:lastModifiedBy>
  <cp:revision>2</cp:revision>
  <dcterms:created xsi:type="dcterms:W3CDTF">2013-10-23T13:59:00Z</dcterms:created>
  <dcterms:modified xsi:type="dcterms:W3CDTF">2013-10-23T13:59:00Z</dcterms:modified>
</cp:coreProperties>
</file>